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18"/>
          <w:szCs w:val="18"/>
          <w:lang w:val="en-US" w:eastAsia="zh-CN"/>
        </w:rPr>
      </w:pPr>
      <w:r>
        <w:rPr>
          <w:rFonts w:hint="eastAsia" w:ascii="宋体" w:hAnsi="宋体" w:cs="宋体"/>
          <w:b/>
          <w:bCs/>
          <w:sz w:val="52"/>
          <w:szCs w:val="52"/>
          <w:lang w:val="en-US" w:eastAsia="zh-CN"/>
        </w:rPr>
        <w:t>家具清单</w:t>
      </w:r>
    </w:p>
    <w:tbl>
      <w:tblPr>
        <w:tblStyle w:val="3"/>
        <w:tblW w:w="16068" w:type="dxa"/>
        <w:tblInd w:w="-885" w:type="dxa"/>
        <w:tblLayout w:type="fixed"/>
        <w:tblCellMar>
          <w:top w:w="0" w:type="dxa"/>
          <w:left w:w="108" w:type="dxa"/>
          <w:bottom w:w="0" w:type="dxa"/>
          <w:right w:w="108" w:type="dxa"/>
        </w:tblCellMar>
      </w:tblPr>
      <w:tblGrid>
        <w:gridCol w:w="446"/>
        <w:gridCol w:w="684"/>
        <w:gridCol w:w="2378"/>
        <w:gridCol w:w="6557"/>
        <w:gridCol w:w="1816"/>
        <w:gridCol w:w="780"/>
        <w:gridCol w:w="544"/>
        <w:gridCol w:w="759"/>
        <w:gridCol w:w="764"/>
        <w:gridCol w:w="1340"/>
      </w:tblGrid>
      <w:tr>
        <w:tblPrEx>
          <w:tblLayout w:type="fixed"/>
          <w:tblCellMar>
            <w:top w:w="0" w:type="dxa"/>
            <w:left w:w="108" w:type="dxa"/>
            <w:bottom w:w="0" w:type="dxa"/>
            <w:right w:w="108" w:type="dxa"/>
          </w:tblCellMar>
        </w:tblPrEx>
        <w:trPr>
          <w:trHeight w:val="900" w:hRule="atLeast"/>
        </w:trPr>
        <w:tc>
          <w:tcPr>
            <w:tcW w:w="446" w:type="dxa"/>
            <w:tcBorders>
              <w:top w:val="nil"/>
              <w:left w:val="single" w:color="auto" w:sz="4" w:space="0"/>
              <w:bottom w:val="nil"/>
              <w:right w:val="single" w:color="auto" w:sz="4" w:space="0"/>
            </w:tcBorders>
            <w:shd w:val="clear" w:color="000000" w:fill="BFBFBF"/>
            <w:noWrap w:val="0"/>
            <w:vAlign w:val="center"/>
          </w:tcPr>
          <w:p>
            <w:pPr>
              <w:jc w:val="center"/>
              <w:rPr>
                <w:rFonts w:hint="eastAsia" w:ascii="宋体" w:hAnsi="宋体" w:eastAsia="宋体" w:cs="宋体"/>
                <w:b/>
                <w:bCs/>
                <w:sz w:val="18"/>
                <w:szCs w:val="18"/>
                <w:lang w:eastAsia="zh-CN"/>
              </w:rPr>
            </w:pPr>
            <w:r>
              <w:rPr>
                <w:rFonts w:hint="eastAsia" w:ascii="宋体" w:hAnsi="宋体" w:cs="宋体"/>
                <w:b/>
                <w:bCs/>
                <w:sz w:val="18"/>
                <w:szCs w:val="18"/>
                <w:lang w:eastAsia="zh-CN"/>
              </w:rPr>
              <w:t>序号</w:t>
            </w:r>
          </w:p>
        </w:tc>
        <w:tc>
          <w:tcPr>
            <w:tcW w:w="684"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名称</w:t>
            </w:r>
            <w:r>
              <w:rPr>
                <w:rFonts w:hint="eastAsia" w:ascii="宋体" w:hAnsi="宋体" w:cs="宋体"/>
                <w:b/>
                <w:bCs/>
                <w:sz w:val="18"/>
                <w:szCs w:val="18"/>
              </w:rPr>
              <w:br w:type="textWrapping"/>
            </w:r>
            <w:r>
              <w:rPr>
                <w:rFonts w:hint="eastAsia" w:ascii="宋体" w:hAnsi="宋体" w:cs="宋体"/>
                <w:b/>
                <w:bCs/>
                <w:sz w:val="18"/>
                <w:szCs w:val="18"/>
              </w:rPr>
              <w:t>型号</w:t>
            </w:r>
          </w:p>
        </w:tc>
        <w:tc>
          <w:tcPr>
            <w:tcW w:w="2378"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图示</w:t>
            </w:r>
          </w:p>
        </w:tc>
        <w:tc>
          <w:tcPr>
            <w:tcW w:w="6557"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材质说明</w:t>
            </w:r>
          </w:p>
        </w:tc>
        <w:tc>
          <w:tcPr>
            <w:tcW w:w="1816"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规格(mm)</w:t>
            </w:r>
            <w:r>
              <w:rPr>
                <w:rFonts w:hint="eastAsia" w:ascii="宋体" w:hAnsi="宋体" w:cs="宋体"/>
                <w:b/>
                <w:bCs/>
                <w:sz w:val="18"/>
                <w:szCs w:val="18"/>
              </w:rPr>
              <w:br w:type="textWrapping"/>
            </w:r>
            <w:r>
              <w:rPr>
                <w:rFonts w:hint="eastAsia" w:ascii="宋体" w:hAnsi="宋体" w:cs="宋体"/>
                <w:b/>
                <w:bCs/>
                <w:sz w:val="18"/>
                <w:szCs w:val="18"/>
              </w:rPr>
              <w:t>长*宽*高</w:t>
            </w:r>
          </w:p>
        </w:tc>
        <w:tc>
          <w:tcPr>
            <w:tcW w:w="780"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数量</w:t>
            </w:r>
          </w:p>
        </w:tc>
        <w:tc>
          <w:tcPr>
            <w:tcW w:w="544"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单位</w:t>
            </w:r>
          </w:p>
        </w:tc>
        <w:tc>
          <w:tcPr>
            <w:tcW w:w="759"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单价（元）</w:t>
            </w:r>
          </w:p>
        </w:tc>
        <w:tc>
          <w:tcPr>
            <w:tcW w:w="764"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总价（元）</w:t>
            </w:r>
          </w:p>
        </w:tc>
        <w:tc>
          <w:tcPr>
            <w:tcW w:w="1340" w:type="dxa"/>
            <w:tcBorders>
              <w:top w:val="nil"/>
              <w:left w:val="nil"/>
              <w:bottom w:val="nil"/>
              <w:right w:val="single" w:color="auto" w:sz="4" w:space="0"/>
            </w:tcBorders>
            <w:shd w:val="clear" w:color="000000" w:fill="BFBFBF"/>
            <w:noWrap w:val="0"/>
            <w:vAlign w:val="center"/>
          </w:tcPr>
          <w:p>
            <w:pPr>
              <w:jc w:val="center"/>
              <w:rPr>
                <w:rFonts w:ascii="宋体" w:hAnsi="宋体" w:cs="宋体"/>
                <w:b/>
                <w:bCs/>
                <w:sz w:val="18"/>
                <w:szCs w:val="18"/>
              </w:rPr>
            </w:pPr>
            <w:r>
              <w:rPr>
                <w:rFonts w:hint="eastAsia" w:ascii="宋体" w:hAnsi="宋体" w:cs="宋体"/>
                <w:b/>
                <w:bCs/>
                <w:sz w:val="18"/>
                <w:szCs w:val="18"/>
              </w:rPr>
              <w:t>备注</w:t>
            </w:r>
          </w:p>
        </w:tc>
      </w:tr>
      <w:tr>
        <w:tblPrEx>
          <w:tblLayout w:type="fixed"/>
          <w:tblCellMar>
            <w:top w:w="0" w:type="dxa"/>
            <w:left w:w="108" w:type="dxa"/>
            <w:bottom w:w="0" w:type="dxa"/>
            <w:right w:w="108" w:type="dxa"/>
          </w:tblCellMar>
        </w:tblPrEx>
        <w:trPr>
          <w:trHeight w:val="2825"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1</w:t>
            </w:r>
          </w:p>
        </w:tc>
        <w:tc>
          <w:tcPr>
            <w:tcW w:w="68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公寓组合床</w:t>
            </w:r>
          </w:p>
        </w:tc>
        <w:tc>
          <w:tcPr>
            <w:tcW w:w="237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ascii="宋体" w:hAnsi="宋体" w:cs="宋体"/>
                <w:sz w:val="20"/>
              </w:rPr>
              <w:drawing>
                <wp:anchor distT="0" distB="0" distL="114300" distR="114300" simplePos="0" relativeHeight="251661312" behindDoc="0" locked="0" layoutInCell="1" allowOverlap="1">
                  <wp:simplePos x="0" y="0"/>
                  <wp:positionH relativeFrom="column">
                    <wp:posOffset>-23495</wp:posOffset>
                  </wp:positionH>
                  <wp:positionV relativeFrom="paragraph">
                    <wp:posOffset>1520190</wp:posOffset>
                  </wp:positionV>
                  <wp:extent cx="1304925" cy="1180465"/>
                  <wp:effectExtent l="0" t="0" r="9525" b="63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4"/>
                          <a:stretch>
                            <a:fillRect/>
                          </a:stretch>
                        </pic:blipFill>
                        <pic:spPr>
                          <a:xfrm>
                            <a:off x="0" y="0"/>
                            <a:ext cx="1304925" cy="1180465"/>
                          </a:xfrm>
                          <a:prstGeom prst="rect">
                            <a:avLst/>
                          </a:prstGeom>
                          <a:noFill/>
                          <a:ln w="9525">
                            <a:noFill/>
                          </a:ln>
                        </pic:spPr>
                      </pic:pic>
                    </a:graphicData>
                  </a:graphic>
                </wp:anchor>
              </w:drawing>
            </w:r>
          </w:p>
        </w:tc>
        <w:tc>
          <w:tcPr>
            <w:tcW w:w="6557" w:type="dxa"/>
            <w:tcBorders>
              <w:top w:val="single" w:color="auto" w:sz="4" w:space="0"/>
              <w:left w:val="nil"/>
              <w:bottom w:val="single" w:color="auto" w:sz="4" w:space="0"/>
              <w:right w:val="single" w:color="auto" w:sz="4" w:space="0"/>
            </w:tcBorders>
            <w:noWrap w:val="0"/>
            <w:vAlign w:val="center"/>
          </w:tcPr>
          <w:p>
            <w:pPr>
              <w:numPr>
                <w:ilvl w:val="0"/>
                <w:numId w:val="1"/>
              </w:numPr>
              <w:rPr>
                <w:rFonts w:hint="eastAsia" w:ascii="宋体" w:hAnsi="宋体" w:cs="宋体"/>
                <w:sz w:val="20"/>
              </w:rPr>
            </w:pPr>
            <w:r>
              <w:rPr>
                <w:rFonts w:hint="eastAsia" w:ascii="宋体" w:hAnsi="宋体" w:cs="宋体"/>
                <w:sz w:val="20"/>
              </w:rPr>
              <w:t>使用材料均为优质松木实木，床片厚40mm，基本无发霉、蛀孔、无烂疤、裂缝等影响质量的缺陷，制作牢固可靠，木材需经杀虫、烘干、防腐、防霉处理，含水率低于12±1%。床片中间用12mm厚双面贴饰面多层板，颜色暖白。</w:t>
            </w:r>
            <w:r>
              <w:rPr>
                <w:rFonts w:hint="eastAsia" w:ascii="宋体" w:hAnsi="宋体" w:cs="宋体"/>
                <w:sz w:val="20"/>
              </w:rPr>
              <w:br w:type="textWrapping"/>
            </w:r>
            <w:r>
              <w:rPr>
                <w:rFonts w:hint="eastAsia" w:ascii="宋体" w:hAnsi="宋体" w:cs="宋体"/>
                <w:sz w:val="20"/>
              </w:rPr>
              <w:t xml:space="preserve">2、床板厚14mm，横档木材用45*35五根，铺板用光面木板、四面抛光，板缝间距为≤10mm，木材含水率≤12%，木材无腐朽或较明显虫眼等瑕疵，符合国家环保标准。   </w:t>
            </w:r>
          </w:p>
          <w:p>
            <w:pPr>
              <w:numPr>
                <w:ilvl w:val="0"/>
                <w:numId w:val="1"/>
              </w:numPr>
              <w:ind w:left="0" w:leftChars="0" w:firstLine="0" w:firstLineChars="0"/>
              <w:rPr>
                <w:rFonts w:hint="eastAsia" w:ascii="宋体" w:hAnsi="宋体" w:cs="宋体"/>
                <w:sz w:val="20"/>
              </w:rPr>
            </w:pPr>
            <w:r>
              <w:rPr>
                <w:rFonts w:hint="eastAsia" w:ascii="宋体" w:hAnsi="宋体" w:cs="宋体"/>
                <w:sz w:val="20"/>
              </w:rPr>
              <w:t>优质家具五金件，耐氧化、耐腐蚀，经久耐用下架：全部采用50*50的方钢管制作。钢管的焊接采用二氧化碳保护焊新工艺，焊接表面波纹均匀，焊接处无夹渣、气孔、焊瘤、焊丝咬边和飞溅，并保证无脱焊、虚焊、焊穿等现象，贴角焊缝厚度≥3mm。表面喷涂前使用优质环保磷化液前处理，高温固化，确保质量完美。 </w:t>
            </w:r>
          </w:p>
          <w:p>
            <w:pPr>
              <w:numPr>
                <w:ilvl w:val="0"/>
                <w:numId w:val="1"/>
              </w:numPr>
              <w:ind w:left="0" w:leftChars="0" w:firstLine="0" w:firstLineChars="0"/>
              <w:rPr>
                <w:rFonts w:hint="eastAsia" w:ascii="宋体" w:hAnsi="宋体" w:cs="宋体"/>
                <w:sz w:val="20"/>
              </w:rPr>
            </w:pPr>
            <w:r>
              <w:rPr>
                <w:rFonts w:hint="eastAsia" w:ascii="宋体" w:hAnsi="宋体" w:cs="宋体"/>
                <w:sz w:val="20"/>
              </w:rPr>
              <w:t xml:space="preserve">蚊帐架：竖杆采用直径19的圆管，横杆采用直径16的圆管，钢管的焊接采用二氧化碳保护焊新工艺，焊接表面波纹均匀，焊接处无夹渣、气孔、焊瘤、焊丝咬边和飞溅，并保证无脱焊、虚焊、焊穿等现象，贴角焊缝厚度≥3mm。各钢件表面需经全自动喷砂设备喷砂除锈工艺进行除油除锈后进行粉末静电喷塑。                          </w:t>
            </w:r>
          </w:p>
          <w:p>
            <w:pPr>
              <w:numPr>
                <w:ilvl w:val="0"/>
                <w:numId w:val="1"/>
              </w:numPr>
              <w:ind w:left="0" w:leftChars="0" w:firstLine="0" w:firstLineChars="0"/>
              <w:rPr>
                <w:rFonts w:hint="eastAsia" w:ascii="宋体" w:hAnsi="宋体" w:cs="宋体"/>
                <w:sz w:val="20"/>
              </w:rPr>
            </w:pPr>
            <w:r>
              <w:rPr>
                <w:rFonts w:hint="eastAsia" w:ascii="宋体" w:hAnsi="宋体" w:cs="宋体"/>
                <w:sz w:val="20"/>
              </w:rPr>
              <w:t xml:space="preserve">书桌：板材主要采用三聚氰胺饰面中纤板制作，环保型板材，根据国家标准，甲醛释放量符合国家标准，表面无鼓泡、裂纹、压痕和划伤。柜后板采用4mm的双面贴三聚氰胺饰面中纤板，台面使用厚25mm板，其余同时采用25mm厚的板材，板材的露边处采用ABS同色封边条加胶水进行封边，保证产品受冷、受热均不会脱落。                           </w:t>
            </w:r>
          </w:p>
          <w:p>
            <w:pPr>
              <w:numPr>
                <w:ilvl w:val="0"/>
                <w:numId w:val="1"/>
              </w:numPr>
              <w:ind w:left="0" w:leftChars="0" w:firstLine="0" w:firstLineChars="0"/>
              <w:rPr>
                <w:rFonts w:hint="eastAsia" w:ascii="宋体" w:hAnsi="宋体" w:cs="宋体"/>
                <w:sz w:val="20"/>
              </w:rPr>
            </w:pPr>
            <w:r>
              <w:rPr>
                <w:rFonts w:hint="eastAsia" w:ascii="宋体" w:hAnsi="宋体" w:cs="宋体"/>
                <w:sz w:val="20"/>
              </w:rPr>
              <w:t xml:space="preserve">采用优质导轨，锁具采用不锈钢制作，并使用优质紧固件装订在抽屉面板上。挂衣橱：板材主要采用三聚氰胺饰面中纤板制作，环保型板材，根据国家标准，甲醛释放量，符合国家标准，表面无鼓泡、裂纹、压痕和划伤。柜后板采用4mm的双面贴三聚氰胺板，其余均采用18mm厚的板材，板材的露边处采用ABS同色封边条加粘合剂进行封边。 </w:t>
            </w:r>
          </w:p>
          <w:p>
            <w:pPr>
              <w:numPr>
                <w:numId w:val="0"/>
              </w:numPr>
              <w:ind w:leftChars="0"/>
              <w:rPr>
                <w:rFonts w:hint="eastAsia" w:ascii="宋体" w:hAnsi="宋体" w:eastAsia="宋体" w:cs="宋体"/>
                <w:sz w:val="20"/>
                <w:lang w:eastAsia="zh-CN"/>
              </w:rPr>
            </w:pPr>
            <w:r>
              <w:rPr>
                <w:rFonts w:hint="eastAsia" w:ascii="宋体" w:hAnsi="宋体" w:cs="宋体"/>
                <w:sz w:val="20"/>
              </w:rPr>
              <w:t>7、钢管底部配有PP原料一次注塑而成的脚套，抱枕公寓床的稳定性</w:t>
            </w:r>
            <w:r>
              <w:rPr>
                <w:rFonts w:hint="eastAsia" w:ascii="宋体" w:hAnsi="宋体" w:cs="宋体"/>
                <w:sz w:val="20"/>
                <w:lang w:eastAsia="zh-CN"/>
              </w:rPr>
              <w:t>。</w:t>
            </w:r>
            <w:bookmarkStart w:id="0" w:name="_GoBack"/>
            <w:bookmarkEnd w:id="0"/>
          </w:p>
        </w:tc>
        <w:tc>
          <w:tcPr>
            <w:tcW w:w="181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W2000*D900*H2100</w:t>
            </w:r>
          </w:p>
        </w:tc>
        <w:tc>
          <w:tcPr>
            <w:tcW w:w="780"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280</w:t>
            </w:r>
          </w:p>
        </w:tc>
        <w:tc>
          <w:tcPr>
            <w:tcW w:w="54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件</w:t>
            </w:r>
          </w:p>
        </w:tc>
        <w:tc>
          <w:tcPr>
            <w:tcW w:w="75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w:t>
            </w:r>
          </w:p>
        </w:tc>
        <w:tc>
          <w:tcPr>
            <w:tcW w:w="76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xml:space="preserve">0.00 </w:t>
            </w:r>
          </w:p>
        </w:tc>
        <w:tc>
          <w:tcPr>
            <w:tcW w:w="1340"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　</w:t>
            </w:r>
          </w:p>
        </w:tc>
      </w:tr>
      <w:tr>
        <w:tblPrEx>
          <w:tblLayout w:type="fixed"/>
          <w:tblCellMar>
            <w:top w:w="0" w:type="dxa"/>
            <w:left w:w="108" w:type="dxa"/>
            <w:bottom w:w="0" w:type="dxa"/>
            <w:right w:w="108" w:type="dxa"/>
          </w:tblCellMar>
        </w:tblPrEx>
        <w:trPr>
          <w:trHeight w:val="1920" w:hRule="atLeast"/>
        </w:trPr>
        <w:tc>
          <w:tcPr>
            <w:tcW w:w="44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2</w:t>
            </w:r>
          </w:p>
        </w:tc>
        <w:tc>
          <w:tcPr>
            <w:tcW w:w="68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床垫</w:t>
            </w:r>
          </w:p>
        </w:tc>
        <w:tc>
          <w:tcPr>
            <w:tcW w:w="2378"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ascii="宋体" w:hAnsi="宋体" w:cs="宋体"/>
                <w:sz w:val="20"/>
              </w:rPr>
              <w:drawing>
                <wp:anchor distT="0" distB="0" distL="114300" distR="114300" simplePos="0" relativeHeight="251658240" behindDoc="0" locked="0" layoutInCell="1" allowOverlap="1">
                  <wp:simplePos x="0" y="0"/>
                  <wp:positionH relativeFrom="column">
                    <wp:posOffset>86995</wp:posOffset>
                  </wp:positionH>
                  <wp:positionV relativeFrom="paragraph">
                    <wp:posOffset>382270</wp:posOffset>
                  </wp:positionV>
                  <wp:extent cx="1196975" cy="534035"/>
                  <wp:effectExtent l="0" t="0" r="3175" b="1841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5"/>
                          <a:stretch>
                            <a:fillRect/>
                          </a:stretch>
                        </pic:blipFill>
                        <pic:spPr>
                          <a:xfrm>
                            <a:off x="0" y="0"/>
                            <a:ext cx="1196975" cy="534035"/>
                          </a:xfrm>
                          <a:prstGeom prst="rect">
                            <a:avLst/>
                          </a:prstGeom>
                          <a:noFill/>
                          <a:ln w="9525">
                            <a:noFill/>
                          </a:ln>
                        </pic:spPr>
                      </pic:pic>
                    </a:graphicData>
                  </a:graphic>
                </wp:anchor>
              </w:drawing>
            </w:r>
          </w:p>
        </w:tc>
        <w:tc>
          <w:tcPr>
            <w:tcW w:w="6557" w:type="dxa"/>
            <w:tcBorders>
              <w:top w:val="nil"/>
              <w:left w:val="nil"/>
              <w:bottom w:val="single" w:color="auto" w:sz="4" w:space="0"/>
              <w:right w:val="single" w:color="auto" w:sz="4" w:space="0"/>
            </w:tcBorders>
            <w:noWrap w:val="0"/>
            <w:vAlign w:val="center"/>
          </w:tcPr>
          <w:p>
            <w:pPr>
              <w:rPr>
                <w:rFonts w:ascii="宋体" w:hAnsi="宋体" w:cs="宋体"/>
                <w:sz w:val="20"/>
              </w:rPr>
            </w:pPr>
            <w:r>
              <w:rPr>
                <w:rFonts w:hint="eastAsia" w:ascii="宋体" w:hAnsi="宋体" w:cs="宋体"/>
                <w:sz w:val="20"/>
              </w:rPr>
              <w:t>天然山棕，采用云贵高原的优质山棕和天然乳胶为原料，将山棕经过蒸煮.碾压.分解.喷胶.垫压定制等工序精制而成，不易变形。因山棕树成长在高寒山区，具有强度高.弹性好.抗腐蚀.防蛀虫.气味清香.透气性强.不吸水.防潮性好。</w:t>
            </w:r>
          </w:p>
        </w:tc>
        <w:tc>
          <w:tcPr>
            <w:tcW w:w="1816"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W2000*D900*H50</w:t>
            </w:r>
          </w:p>
        </w:tc>
        <w:tc>
          <w:tcPr>
            <w:tcW w:w="780"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280</w:t>
            </w:r>
          </w:p>
        </w:tc>
        <w:tc>
          <w:tcPr>
            <w:tcW w:w="54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件</w:t>
            </w:r>
          </w:p>
        </w:tc>
        <w:tc>
          <w:tcPr>
            <w:tcW w:w="759"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w:t>
            </w: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xml:space="preserve">0.00 </w:t>
            </w:r>
          </w:p>
        </w:tc>
        <w:tc>
          <w:tcPr>
            <w:tcW w:w="1340"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　</w:t>
            </w:r>
          </w:p>
        </w:tc>
      </w:tr>
      <w:tr>
        <w:tblPrEx>
          <w:tblLayout w:type="fixed"/>
          <w:tblCellMar>
            <w:top w:w="0" w:type="dxa"/>
            <w:left w:w="108" w:type="dxa"/>
            <w:bottom w:w="0" w:type="dxa"/>
            <w:right w:w="108" w:type="dxa"/>
          </w:tblCellMar>
        </w:tblPrEx>
        <w:trPr>
          <w:trHeight w:val="3120" w:hRule="atLeast"/>
        </w:trPr>
        <w:tc>
          <w:tcPr>
            <w:tcW w:w="44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3</w:t>
            </w:r>
          </w:p>
        </w:tc>
        <w:tc>
          <w:tcPr>
            <w:tcW w:w="68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钢塑宿舍椅</w:t>
            </w:r>
          </w:p>
        </w:tc>
        <w:tc>
          <w:tcPr>
            <w:tcW w:w="2378"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ascii="宋体" w:hAnsi="宋体" w:cs="宋体"/>
                <w:sz w:val="20"/>
              </w:rPr>
              <w:drawing>
                <wp:anchor distT="0" distB="0" distL="114300" distR="114300" simplePos="0" relativeHeight="251662336" behindDoc="0" locked="0" layoutInCell="1" allowOverlap="1">
                  <wp:simplePos x="0" y="0"/>
                  <wp:positionH relativeFrom="column">
                    <wp:posOffset>153670</wp:posOffset>
                  </wp:positionH>
                  <wp:positionV relativeFrom="paragraph">
                    <wp:posOffset>341630</wp:posOffset>
                  </wp:positionV>
                  <wp:extent cx="1009650" cy="1438275"/>
                  <wp:effectExtent l="0" t="0" r="0" b="9525"/>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6"/>
                          <a:stretch>
                            <a:fillRect/>
                          </a:stretch>
                        </pic:blipFill>
                        <pic:spPr>
                          <a:xfrm>
                            <a:off x="0" y="0"/>
                            <a:ext cx="1009650" cy="1438275"/>
                          </a:xfrm>
                          <a:prstGeom prst="rect">
                            <a:avLst/>
                          </a:prstGeom>
                          <a:noFill/>
                          <a:ln w="9525">
                            <a:noFill/>
                          </a:ln>
                        </pic:spPr>
                      </pic:pic>
                    </a:graphicData>
                  </a:graphic>
                </wp:anchor>
              </w:drawing>
            </w:r>
          </w:p>
        </w:tc>
        <w:tc>
          <w:tcPr>
            <w:tcW w:w="6557" w:type="dxa"/>
            <w:tcBorders>
              <w:top w:val="nil"/>
              <w:left w:val="nil"/>
              <w:bottom w:val="single" w:color="auto" w:sz="4" w:space="0"/>
              <w:right w:val="single" w:color="auto" w:sz="4" w:space="0"/>
            </w:tcBorders>
            <w:noWrap w:val="0"/>
            <w:vAlign w:val="center"/>
          </w:tcPr>
          <w:p>
            <w:pPr>
              <w:rPr>
                <w:rFonts w:ascii="宋体" w:hAnsi="宋体" w:cs="宋体"/>
                <w:sz w:val="20"/>
              </w:rPr>
            </w:pPr>
            <w:r>
              <w:rPr>
                <w:rFonts w:hint="eastAsia" w:ascii="宋体" w:hAnsi="宋体" w:cs="宋体"/>
                <w:sz w:val="20"/>
              </w:rPr>
              <w:t>1、椅座/背：材质：采用环保ABS耐冲击塑料一次新料一体射出成型，耐冲击强度须能承受10磅榔头重力锤击不得破裂，不得采用回收料生产。采用环保色粉进行调色，颜色多种选择；韧性强，可倒置踩踏；运用人体曲线的设计，不仅仅是其自身的美，还可以使坐席者舒服，边缘处理圆滑细腻，有韧性；</w:t>
            </w:r>
            <w:r>
              <w:rPr>
                <w:rFonts w:hint="eastAsia" w:ascii="宋体" w:hAnsi="宋体" w:cs="宋体"/>
                <w:sz w:val="20"/>
              </w:rPr>
              <w:br w:type="textWrapping"/>
            </w:r>
            <w:r>
              <w:rPr>
                <w:rFonts w:hint="eastAsia" w:ascii="宋体" w:hAnsi="宋体" w:cs="宋体"/>
                <w:sz w:val="20"/>
              </w:rPr>
              <w:t>2、椅架：采用优质不锈钢弓形脚，模具折弯成型，表面除油、除锈、磷化处理，折弯后电镀而成,表面电镀层，耐盐雾，18H,1.5MM以下锈点≤20点。；</w:t>
            </w:r>
          </w:p>
        </w:tc>
        <w:tc>
          <w:tcPr>
            <w:tcW w:w="1816"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常规</w:t>
            </w:r>
          </w:p>
        </w:tc>
        <w:tc>
          <w:tcPr>
            <w:tcW w:w="780"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280</w:t>
            </w:r>
          </w:p>
        </w:tc>
        <w:tc>
          <w:tcPr>
            <w:tcW w:w="54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件</w:t>
            </w:r>
          </w:p>
        </w:tc>
        <w:tc>
          <w:tcPr>
            <w:tcW w:w="759"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w:t>
            </w: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xml:space="preserve">0.00 </w:t>
            </w:r>
          </w:p>
        </w:tc>
        <w:tc>
          <w:tcPr>
            <w:tcW w:w="1340"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　</w:t>
            </w:r>
          </w:p>
        </w:tc>
      </w:tr>
      <w:tr>
        <w:tblPrEx>
          <w:tblLayout w:type="fixed"/>
          <w:tblCellMar>
            <w:top w:w="0" w:type="dxa"/>
            <w:left w:w="108" w:type="dxa"/>
            <w:bottom w:w="0" w:type="dxa"/>
            <w:right w:w="108" w:type="dxa"/>
          </w:tblCellMar>
        </w:tblPrEx>
        <w:trPr>
          <w:trHeight w:val="3510" w:hRule="atLeast"/>
        </w:trPr>
        <w:tc>
          <w:tcPr>
            <w:tcW w:w="446"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4</w:t>
            </w:r>
          </w:p>
        </w:tc>
        <w:tc>
          <w:tcPr>
            <w:tcW w:w="68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文件柜</w:t>
            </w:r>
          </w:p>
        </w:tc>
        <w:tc>
          <w:tcPr>
            <w:tcW w:w="2378"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ascii="宋体" w:hAnsi="宋体" w:cs="宋体"/>
                <w:sz w:val="20"/>
              </w:rPr>
              <w:drawing>
                <wp:anchor distT="0" distB="0" distL="114300" distR="114300" simplePos="0" relativeHeight="251659264" behindDoc="0" locked="0" layoutInCell="1" allowOverlap="1">
                  <wp:simplePos x="0" y="0"/>
                  <wp:positionH relativeFrom="column">
                    <wp:posOffset>-65405</wp:posOffset>
                  </wp:positionH>
                  <wp:positionV relativeFrom="paragraph">
                    <wp:posOffset>62230</wp:posOffset>
                  </wp:positionV>
                  <wp:extent cx="1457325" cy="2085975"/>
                  <wp:effectExtent l="0" t="0" r="9525" b="9525"/>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pic:cNvPicPr>
                        </pic:nvPicPr>
                        <pic:blipFill>
                          <a:blip r:embed="rId7"/>
                          <a:stretch>
                            <a:fillRect/>
                          </a:stretch>
                        </pic:blipFill>
                        <pic:spPr>
                          <a:xfrm>
                            <a:off x="0" y="0"/>
                            <a:ext cx="1457325" cy="2085975"/>
                          </a:xfrm>
                          <a:prstGeom prst="rect">
                            <a:avLst/>
                          </a:prstGeom>
                          <a:noFill/>
                          <a:ln w="9525">
                            <a:noFill/>
                          </a:ln>
                        </pic:spPr>
                      </pic:pic>
                    </a:graphicData>
                  </a:graphic>
                </wp:anchor>
              </w:drawing>
            </w:r>
          </w:p>
        </w:tc>
        <w:tc>
          <w:tcPr>
            <w:tcW w:w="6557" w:type="dxa"/>
            <w:tcBorders>
              <w:top w:val="nil"/>
              <w:left w:val="nil"/>
              <w:bottom w:val="single" w:color="auto" w:sz="4" w:space="0"/>
              <w:right w:val="single" w:color="auto" w:sz="4" w:space="0"/>
            </w:tcBorders>
            <w:noWrap w:val="0"/>
            <w:vAlign w:val="center"/>
          </w:tcPr>
          <w:p>
            <w:pPr>
              <w:rPr>
                <w:rFonts w:ascii="宋体" w:hAnsi="宋体" w:cs="宋体"/>
                <w:sz w:val="20"/>
              </w:rPr>
            </w:pPr>
            <w:r>
              <w:rPr>
                <w:rFonts w:hint="eastAsia" w:ascii="宋体" w:hAnsi="宋体" w:cs="宋体"/>
                <w:sz w:val="20"/>
              </w:rPr>
              <w:t>1、贴面用材：采用德国“夏特”SCHATTDECOR，是全球三聚板饰面行业领导品牌，具有色泽鲜亮、色牢度高，保持十年以上不褪色等特点，饰面后可达到E0级，烟密度等级（SOR）≤75，燃烧性能达到GB/T8626所规定的指标。</w:t>
            </w:r>
            <w:r>
              <w:rPr>
                <w:rFonts w:hint="eastAsia" w:ascii="宋体" w:hAnsi="宋体" w:cs="宋体"/>
                <w:sz w:val="20"/>
              </w:rPr>
              <w:br w:type="textWrapping"/>
            </w:r>
            <w:r>
              <w:rPr>
                <w:rFonts w:hint="eastAsia" w:ascii="宋体" w:hAnsi="宋体" w:cs="宋体"/>
                <w:sz w:val="20"/>
              </w:rPr>
              <w:t>2、封边：同色封边。</w:t>
            </w:r>
            <w:r>
              <w:rPr>
                <w:rFonts w:hint="eastAsia" w:ascii="宋体" w:hAnsi="宋体" w:cs="宋体"/>
                <w:sz w:val="20"/>
              </w:rPr>
              <w:br w:type="textWrapping"/>
            </w:r>
            <w:r>
              <w:rPr>
                <w:rFonts w:hint="eastAsia" w:ascii="宋体" w:hAnsi="宋体" w:cs="宋体"/>
                <w:sz w:val="20"/>
              </w:rPr>
              <w:t>3、基料板材：选用福建“大亚”牌E1级环保标准刨花板，甲醛释放量E1≤9.0mg/100g,静曲强度≥13Mpa，变曲弹性模量≥1600Mpa，吸水厚度膨胀率≤8%的国家标准。</w:t>
            </w:r>
            <w:r>
              <w:rPr>
                <w:rFonts w:hint="eastAsia" w:ascii="宋体" w:hAnsi="宋体" w:cs="宋体"/>
                <w:sz w:val="20"/>
              </w:rPr>
              <w:br w:type="textWrapping"/>
            </w:r>
            <w:r>
              <w:rPr>
                <w:rFonts w:hint="eastAsia" w:ascii="宋体" w:hAnsi="宋体" w:cs="宋体"/>
                <w:sz w:val="20"/>
              </w:rPr>
              <w:t>4、采用优质五金配件；金属合金件应无锈蚀，表面细密，应无裂痕、毛刺。焊接件焊接部位应牢固，焊缝均匀，应无毛刺、裂纹等缺陷；</w:t>
            </w:r>
            <w:r>
              <w:rPr>
                <w:rFonts w:hint="eastAsia" w:ascii="宋体" w:hAnsi="宋体" w:cs="宋体"/>
                <w:sz w:val="20"/>
              </w:rPr>
              <w:br w:type="textWrapping"/>
            </w:r>
            <w:r>
              <w:rPr>
                <w:rFonts w:hint="eastAsia" w:ascii="宋体" w:hAnsi="宋体" w:cs="宋体"/>
                <w:sz w:val="20"/>
              </w:rPr>
              <w:t xml:space="preserve">5、粘合剂：采用进口环保粘合剂，游离甲笨＜0.01g/kg。                      </w:t>
            </w:r>
          </w:p>
        </w:tc>
        <w:tc>
          <w:tcPr>
            <w:tcW w:w="1816"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500*600*2000</w:t>
            </w:r>
          </w:p>
        </w:tc>
        <w:tc>
          <w:tcPr>
            <w:tcW w:w="780"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140</w:t>
            </w:r>
          </w:p>
        </w:tc>
        <w:tc>
          <w:tcPr>
            <w:tcW w:w="54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件</w:t>
            </w:r>
          </w:p>
        </w:tc>
        <w:tc>
          <w:tcPr>
            <w:tcW w:w="759"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w:t>
            </w:r>
          </w:p>
        </w:tc>
        <w:tc>
          <w:tcPr>
            <w:tcW w:w="764" w:type="dxa"/>
            <w:tcBorders>
              <w:top w:val="nil"/>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xml:space="preserve">0.00 </w:t>
            </w:r>
          </w:p>
        </w:tc>
        <w:tc>
          <w:tcPr>
            <w:tcW w:w="1340" w:type="dxa"/>
            <w:tcBorders>
              <w:top w:val="nil"/>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　</w:t>
            </w:r>
          </w:p>
        </w:tc>
      </w:tr>
      <w:tr>
        <w:tblPrEx>
          <w:tblLayout w:type="fixed"/>
          <w:tblCellMar>
            <w:top w:w="0" w:type="dxa"/>
            <w:left w:w="108" w:type="dxa"/>
            <w:bottom w:w="0" w:type="dxa"/>
            <w:right w:w="108" w:type="dxa"/>
          </w:tblCellMar>
        </w:tblPrEx>
        <w:trPr>
          <w:trHeight w:val="2802" w:hRule="atLeast"/>
        </w:trPr>
        <w:tc>
          <w:tcPr>
            <w:tcW w:w="446" w:type="dxa"/>
            <w:tcBorders>
              <w:top w:val="nil"/>
              <w:left w:val="single" w:color="auto" w:sz="4" w:space="0"/>
              <w:bottom w:val="nil"/>
              <w:right w:val="single" w:color="auto" w:sz="4" w:space="0"/>
            </w:tcBorders>
            <w:noWrap w:val="0"/>
            <w:vAlign w:val="center"/>
          </w:tcPr>
          <w:p>
            <w:pPr>
              <w:jc w:val="center"/>
              <w:rPr>
                <w:rFonts w:ascii="宋体" w:hAnsi="宋体" w:cs="宋体"/>
                <w:sz w:val="20"/>
              </w:rPr>
            </w:pPr>
            <w:r>
              <w:rPr>
                <w:rFonts w:hint="eastAsia" w:ascii="宋体" w:hAnsi="宋体" w:cs="宋体"/>
                <w:sz w:val="20"/>
              </w:rPr>
              <w:t>5</w:t>
            </w:r>
          </w:p>
        </w:tc>
        <w:tc>
          <w:tcPr>
            <w:tcW w:w="684" w:type="dxa"/>
            <w:tcBorders>
              <w:top w:val="nil"/>
              <w:left w:val="nil"/>
              <w:bottom w:val="nil"/>
              <w:right w:val="single" w:color="auto" w:sz="4" w:space="0"/>
            </w:tcBorders>
            <w:noWrap w:val="0"/>
            <w:vAlign w:val="center"/>
          </w:tcPr>
          <w:p>
            <w:pPr>
              <w:jc w:val="center"/>
              <w:rPr>
                <w:rFonts w:ascii="宋体" w:hAnsi="宋体" w:cs="宋体"/>
                <w:sz w:val="20"/>
              </w:rPr>
            </w:pPr>
            <w:r>
              <w:rPr>
                <w:rFonts w:hint="eastAsia" w:ascii="宋体" w:hAnsi="宋体" w:cs="宋体"/>
                <w:sz w:val="20"/>
              </w:rPr>
              <w:t>办公批改桌</w:t>
            </w:r>
          </w:p>
        </w:tc>
        <w:tc>
          <w:tcPr>
            <w:tcW w:w="2378" w:type="dxa"/>
            <w:tcBorders>
              <w:top w:val="nil"/>
              <w:left w:val="nil"/>
              <w:bottom w:val="nil"/>
              <w:right w:val="single" w:color="auto" w:sz="4" w:space="0"/>
            </w:tcBorders>
            <w:noWrap w:val="0"/>
            <w:vAlign w:val="center"/>
          </w:tcPr>
          <w:p>
            <w:pPr>
              <w:jc w:val="center"/>
              <w:rPr>
                <w:rFonts w:ascii="宋体" w:hAnsi="宋体" w:cs="宋体"/>
                <w:sz w:val="20"/>
              </w:rPr>
            </w:pPr>
            <w:r>
              <w:rPr>
                <w:rFonts w:ascii="宋体" w:hAnsi="宋体" w:cs="宋体"/>
                <w:sz w:val="20"/>
              </w:rPr>
              <w:drawing>
                <wp:anchor distT="0" distB="0" distL="114300" distR="114300" simplePos="0" relativeHeight="251660288" behindDoc="0" locked="0" layoutInCell="1" allowOverlap="1">
                  <wp:simplePos x="0" y="0"/>
                  <wp:positionH relativeFrom="column">
                    <wp:posOffset>153670</wp:posOffset>
                  </wp:positionH>
                  <wp:positionV relativeFrom="paragraph">
                    <wp:posOffset>576580</wp:posOffset>
                  </wp:positionV>
                  <wp:extent cx="1239520" cy="864235"/>
                  <wp:effectExtent l="0" t="0" r="17780"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239520" cy="864235"/>
                          </a:xfrm>
                          <a:prstGeom prst="rect">
                            <a:avLst/>
                          </a:prstGeom>
                          <a:noFill/>
                          <a:ln w="9525">
                            <a:noFill/>
                          </a:ln>
                        </pic:spPr>
                      </pic:pic>
                    </a:graphicData>
                  </a:graphic>
                </wp:anchor>
              </w:drawing>
            </w:r>
          </w:p>
        </w:tc>
        <w:tc>
          <w:tcPr>
            <w:tcW w:w="6557" w:type="dxa"/>
            <w:tcBorders>
              <w:top w:val="nil"/>
              <w:left w:val="nil"/>
              <w:bottom w:val="nil"/>
              <w:right w:val="single" w:color="auto" w:sz="4" w:space="0"/>
            </w:tcBorders>
            <w:noWrap w:val="0"/>
            <w:vAlign w:val="center"/>
          </w:tcPr>
          <w:p>
            <w:pPr>
              <w:rPr>
                <w:rFonts w:ascii="宋体" w:hAnsi="宋体" w:cs="宋体"/>
                <w:sz w:val="20"/>
              </w:rPr>
            </w:pPr>
            <w:r>
              <w:rPr>
                <w:rFonts w:hint="eastAsia" w:ascii="宋体" w:hAnsi="宋体" w:cs="宋体"/>
                <w:sz w:val="20"/>
              </w:rPr>
              <w:t>1、贴面用材：采用德国“夏特”SCHATTDECOR，是全球三聚板饰面行业领导品牌，具有色泽鲜亮、色牢度高，保持十年以上不褪色等特点，饰面后可达到E0级，烟密度等级（SOR）≤75，燃烧性能达到GB/T8626所规定的指标。</w:t>
            </w:r>
            <w:r>
              <w:rPr>
                <w:rFonts w:hint="eastAsia" w:ascii="宋体" w:hAnsi="宋体" w:cs="宋体"/>
                <w:sz w:val="20"/>
              </w:rPr>
              <w:br w:type="textWrapping"/>
            </w:r>
            <w:r>
              <w:rPr>
                <w:rFonts w:hint="eastAsia" w:ascii="宋体" w:hAnsi="宋体" w:cs="宋体"/>
                <w:sz w:val="20"/>
              </w:rPr>
              <w:t>2、封边：采用abs封边，一次性热压成型，进一步杜绝板材中甲醛分子的释放。</w:t>
            </w:r>
            <w:r>
              <w:rPr>
                <w:rFonts w:hint="eastAsia" w:ascii="宋体" w:hAnsi="宋体" w:cs="宋体"/>
                <w:sz w:val="20"/>
              </w:rPr>
              <w:br w:type="textWrapping"/>
            </w:r>
            <w:r>
              <w:rPr>
                <w:rFonts w:hint="eastAsia" w:ascii="宋体" w:hAnsi="宋体" w:cs="宋体"/>
                <w:sz w:val="20"/>
              </w:rPr>
              <w:t>3、基料板材：选用福建“大亚”牌E1级环保标准刨花板，甲醛释放量E1≤9.0mg/100g,静曲强度≥13Mpa，变曲弹性模量≥1600Mpa，吸水厚度膨胀率≤8%的国家标准。</w:t>
            </w:r>
            <w:r>
              <w:rPr>
                <w:rFonts w:hint="eastAsia" w:ascii="宋体" w:hAnsi="宋体" w:cs="宋体"/>
                <w:sz w:val="20"/>
              </w:rPr>
              <w:br w:type="textWrapping"/>
            </w:r>
            <w:r>
              <w:rPr>
                <w:rFonts w:hint="eastAsia" w:ascii="宋体" w:hAnsi="宋体" w:cs="宋体"/>
                <w:sz w:val="20"/>
              </w:rPr>
              <w:t>4、采用优质五金配件；金属合金件应无锈蚀，表面细密，应无裂痕、毛刺。焊接件焊接部位应牢固，焊缝均匀，应无毛刺、裂纹等缺陷。</w:t>
            </w:r>
            <w:r>
              <w:rPr>
                <w:rFonts w:hint="eastAsia" w:ascii="宋体" w:hAnsi="宋体" w:cs="宋体"/>
                <w:sz w:val="20"/>
              </w:rPr>
              <w:br w:type="textWrapping"/>
            </w:r>
            <w:r>
              <w:rPr>
                <w:rFonts w:hint="eastAsia" w:ascii="宋体" w:hAnsi="宋体" w:cs="宋体"/>
                <w:sz w:val="20"/>
              </w:rPr>
              <w:t>5、粘合剂：采用进口环保粘合剂，游离甲笨＜0.01g/kg。</w:t>
            </w:r>
          </w:p>
        </w:tc>
        <w:tc>
          <w:tcPr>
            <w:tcW w:w="1816" w:type="dxa"/>
            <w:tcBorders>
              <w:top w:val="nil"/>
              <w:left w:val="nil"/>
              <w:bottom w:val="nil"/>
              <w:right w:val="single" w:color="auto" w:sz="4" w:space="0"/>
            </w:tcBorders>
            <w:noWrap/>
            <w:vAlign w:val="center"/>
          </w:tcPr>
          <w:p>
            <w:pPr>
              <w:jc w:val="center"/>
              <w:rPr>
                <w:rFonts w:ascii="宋体" w:hAnsi="宋体" w:cs="宋体"/>
                <w:sz w:val="20"/>
              </w:rPr>
            </w:pPr>
            <w:r>
              <w:rPr>
                <w:rFonts w:hint="eastAsia" w:ascii="宋体" w:hAnsi="宋体" w:cs="宋体"/>
                <w:sz w:val="20"/>
              </w:rPr>
              <w:t>800*450*1100</w:t>
            </w:r>
          </w:p>
        </w:tc>
        <w:tc>
          <w:tcPr>
            <w:tcW w:w="780" w:type="dxa"/>
            <w:tcBorders>
              <w:top w:val="nil"/>
              <w:left w:val="nil"/>
              <w:bottom w:val="nil"/>
              <w:right w:val="single" w:color="auto" w:sz="4" w:space="0"/>
            </w:tcBorders>
            <w:noWrap/>
            <w:vAlign w:val="center"/>
          </w:tcPr>
          <w:p>
            <w:pPr>
              <w:jc w:val="center"/>
              <w:rPr>
                <w:rFonts w:ascii="宋体" w:hAnsi="宋体" w:cs="宋体"/>
                <w:sz w:val="20"/>
              </w:rPr>
            </w:pPr>
            <w:r>
              <w:rPr>
                <w:rFonts w:hint="eastAsia" w:ascii="宋体" w:hAnsi="宋体" w:cs="宋体"/>
                <w:sz w:val="20"/>
              </w:rPr>
              <w:t>32</w:t>
            </w:r>
          </w:p>
        </w:tc>
        <w:tc>
          <w:tcPr>
            <w:tcW w:w="544" w:type="dxa"/>
            <w:tcBorders>
              <w:top w:val="nil"/>
              <w:left w:val="nil"/>
              <w:bottom w:val="nil"/>
              <w:right w:val="single" w:color="auto" w:sz="4" w:space="0"/>
            </w:tcBorders>
            <w:noWrap w:val="0"/>
            <w:vAlign w:val="center"/>
          </w:tcPr>
          <w:p>
            <w:pPr>
              <w:jc w:val="center"/>
              <w:rPr>
                <w:rFonts w:ascii="宋体" w:hAnsi="宋体" w:cs="宋体"/>
                <w:sz w:val="20"/>
              </w:rPr>
            </w:pPr>
            <w:r>
              <w:rPr>
                <w:rFonts w:hint="eastAsia" w:ascii="宋体" w:hAnsi="宋体" w:cs="宋体"/>
                <w:sz w:val="20"/>
              </w:rPr>
              <w:t>件</w:t>
            </w:r>
          </w:p>
        </w:tc>
        <w:tc>
          <w:tcPr>
            <w:tcW w:w="759" w:type="dxa"/>
            <w:tcBorders>
              <w:top w:val="nil"/>
              <w:left w:val="nil"/>
              <w:bottom w:val="nil"/>
              <w:right w:val="single" w:color="auto" w:sz="4" w:space="0"/>
            </w:tcBorders>
            <w:noWrap w:val="0"/>
            <w:vAlign w:val="center"/>
          </w:tcPr>
          <w:p>
            <w:pPr>
              <w:jc w:val="center"/>
              <w:rPr>
                <w:rFonts w:ascii="宋体" w:hAnsi="宋体" w:cs="宋体"/>
                <w:sz w:val="20"/>
              </w:rPr>
            </w:pPr>
            <w:r>
              <w:rPr>
                <w:rFonts w:hint="eastAsia" w:ascii="宋体" w:hAnsi="宋体" w:cs="宋体"/>
                <w:sz w:val="20"/>
              </w:rPr>
              <w:t>　</w:t>
            </w:r>
          </w:p>
        </w:tc>
        <w:tc>
          <w:tcPr>
            <w:tcW w:w="764" w:type="dxa"/>
            <w:tcBorders>
              <w:top w:val="nil"/>
              <w:left w:val="nil"/>
              <w:bottom w:val="nil"/>
              <w:right w:val="single" w:color="auto" w:sz="4" w:space="0"/>
            </w:tcBorders>
            <w:noWrap w:val="0"/>
            <w:vAlign w:val="center"/>
          </w:tcPr>
          <w:p>
            <w:pPr>
              <w:jc w:val="center"/>
              <w:rPr>
                <w:rFonts w:ascii="宋体" w:hAnsi="宋体" w:cs="宋体"/>
                <w:sz w:val="20"/>
              </w:rPr>
            </w:pPr>
            <w:r>
              <w:rPr>
                <w:rFonts w:hint="eastAsia" w:ascii="宋体" w:hAnsi="宋体" w:cs="宋体"/>
                <w:sz w:val="20"/>
              </w:rPr>
              <w:t xml:space="preserve">0.00 </w:t>
            </w:r>
          </w:p>
        </w:tc>
        <w:tc>
          <w:tcPr>
            <w:tcW w:w="1340" w:type="dxa"/>
            <w:tcBorders>
              <w:top w:val="nil"/>
              <w:left w:val="nil"/>
              <w:bottom w:val="nil"/>
              <w:right w:val="single" w:color="auto" w:sz="4" w:space="0"/>
            </w:tcBorders>
            <w:noWrap/>
            <w:vAlign w:val="center"/>
          </w:tcPr>
          <w:p>
            <w:pPr>
              <w:jc w:val="center"/>
              <w:rPr>
                <w:rFonts w:ascii="宋体" w:hAnsi="宋体" w:cs="宋体"/>
                <w:sz w:val="20"/>
              </w:rPr>
            </w:pPr>
            <w:r>
              <w:rPr>
                <w:rFonts w:hint="eastAsia" w:ascii="宋体" w:hAnsi="宋体" w:cs="宋体"/>
                <w:sz w:val="20"/>
              </w:rPr>
              <w:t>　</w:t>
            </w:r>
          </w:p>
        </w:tc>
      </w:tr>
      <w:tr>
        <w:tblPrEx>
          <w:tblLayout w:type="fixed"/>
          <w:tblCellMar>
            <w:top w:w="0" w:type="dxa"/>
            <w:left w:w="108" w:type="dxa"/>
            <w:bottom w:w="0" w:type="dxa"/>
            <w:right w:w="108" w:type="dxa"/>
          </w:tblCellMar>
        </w:tblPrEx>
        <w:trPr>
          <w:trHeight w:val="4062"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6</w:t>
            </w:r>
          </w:p>
        </w:tc>
        <w:tc>
          <w:tcPr>
            <w:tcW w:w="68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听课椅</w:t>
            </w:r>
          </w:p>
        </w:tc>
        <w:tc>
          <w:tcPr>
            <w:tcW w:w="237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ascii="宋体" w:hAnsi="宋体" w:cs="宋体"/>
                <w:sz w:val="20"/>
              </w:rPr>
              <w:drawing>
                <wp:anchor distT="0" distB="0" distL="114300" distR="114300" simplePos="0" relativeHeight="251663360" behindDoc="0" locked="0" layoutInCell="1" allowOverlap="1">
                  <wp:simplePos x="0" y="0"/>
                  <wp:positionH relativeFrom="column">
                    <wp:posOffset>390525</wp:posOffset>
                  </wp:positionH>
                  <wp:positionV relativeFrom="paragraph">
                    <wp:posOffset>638175</wp:posOffset>
                  </wp:positionV>
                  <wp:extent cx="857250" cy="1114425"/>
                  <wp:effectExtent l="0" t="0" r="0" b="952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857250" cy="1114425"/>
                          </a:xfrm>
                          <a:prstGeom prst="rect">
                            <a:avLst/>
                          </a:prstGeom>
                          <a:noFill/>
                          <a:ln w="9525">
                            <a:noFill/>
                          </a:ln>
                        </pic:spPr>
                      </pic:pic>
                    </a:graphicData>
                  </a:graphic>
                </wp:anchor>
              </w:drawing>
            </w:r>
          </w:p>
        </w:tc>
        <w:tc>
          <w:tcPr>
            <w:tcW w:w="655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0"/>
              </w:rPr>
            </w:pPr>
            <w:r>
              <w:rPr>
                <w:rFonts w:hint="eastAsia" w:ascii="宋体" w:hAnsi="宋体" w:cs="宋体"/>
                <w:sz w:val="20"/>
              </w:rPr>
              <w:t xml:space="preserve">★座椅自重≥8kg，能承受较大负载 。                                  1、尺寸：坐高440mm，坐宽418mm，坐深392mm，背高850mm，折叠灵活可靠，便于使用、贮藏及运输，折叠后占有空间小（折叠后尺寸：坐高1030mm，坐宽464mm，厚度64mm）。                                   2、椅架左右两侧需有上下四个子母铁制连接件，一侧为实心冲压钢筋，另一侧为3mm厚的冲压钢板。如听课时，椅子之间主脚可自由连接，连接后坚固平稳。                                               </w:t>
            </w:r>
          </w:p>
          <w:p>
            <w:pPr>
              <w:rPr>
                <w:rFonts w:ascii="宋体" w:hAnsi="宋体" w:cs="宋体"/>
                <w:sz w:val="20"/>
              </w:rPr>
            </w:pPr>
            <w:r>
              <w:rPr>
                <w:rFonts w:hint="eastAsia" w:ascii="宋体" w:hAnsi="宋体" w:cs="宋体"/>
                <w:sz w:val="20"/>
              </w:rPr>
              <w:t>3、矩管主脚：40mm*10mm，型钢：18mm*24mm，冷轧钢板厚：3mm。使用优质钢管、型钢材料，通过冷弯、冷作、冷冲压及铆合制成。表面采用脱脂、去锈、磷化等处理工艺，然后进行烘干、喷涂优质粉末涂料、固化，粉膜附着牢固可靠，防腐蚀性能高。四脚装有ABS原料一次成型保护套，有效保护接触面且消除噪音。</w:t>
            </w:r>
            <w:r>
              <w:rPr>
                <w:rFonts w:hint="eastAsia" w:ascii="宋体" w:hAnsi="宋体" w:cs="宋体"/>
                <w:sz w:val="20"/>
              </w:rPr>
              <w:br w:type="textWrapping"/>
            </w:r>
            <w:r>
              <w:rPr>
                <w:rFonts w:hint="eastAsia" w:ascii="宋体" w:hAnsi="宋体" w:cs="宋体"/>
                <w:sz w:val="20"/>
              </w:rPr>
              <w:t xml:space="preserve">靠背为矩形管圆头一体成型 。                                                      4、软包面料：优质化纤平织布料，舒适耐用。海绵：优质高密度弹性阻燃海棉，密度高达55kg/m3；回弹率≥40%；75%压缩永久变形≤5%；经抗香烟引燃试验，无有焰燃烧； 软包靠背包根据人体肩膀为20度圆弧形3mm厚的钢板上用铆钉固定。  </w:t>
            </w:r>
          </w:p>
        </w:tc>
        <w:tc>
          <w:tcPr>
            <w:tcW w:w="1816"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常规</w:t>
            </w:r>
          </w:p>
        </w:tc>
        <w:tc>
          <w:tcPr>
            <w:tcW w:w="780"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32</w:t>
            </w:r>
          </w:p>
        </w:tc>
        <w:tc>
          <w:tcPr>
            <w:tcW w:w="54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件</w:t>
            </w:r>
          </w:p>
        </w:tc>
        <w:tc>
          <w:tcPr>
            <w:tcW w:w="75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w:t>
            </w:r>
          </w:p>
        </w:tc>
        <w:tc>
          <w:tcPr>
            <w:tcW w:w="76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rPr>
            </w:pPr>
            <w:r>
              <w:rPr>
                <w:rFonts w:hint="eastAsia" w:ascii="宋体" w:hAnsi="宋体" w:cs="宋体"/>
                <w:sz w:val="20"/>
              </w:rPr>
              <w:t xml:space="preserve">0.00 </w:t>
            </w:r>
          </w:p>
        </w:tc>
        <w:tc>
          <w:tcPr>
            <w:tcW w:w="1340" w:type="dxa"/>
            <w:tcBorders>
              <w:top w:val="single" w:color="auto" w:sz="4" w:space="0"/>
              <w:left w:val="nil"/>
              <w:bottom w:val="single" w:color="auto" w:sz="4" w:space="0"/>
              <w:right w:val="single" w:color="auto" w:sz="4" w:space="0"/>
            </w:tcBorders>
            <w:noWrap/>
            <w:vAlign w:val="center"/>
          </w:tcPr>
          <w:p>
            <w:pPr>
              <w:jc w:val="center"/>
              <w:rPr>
                <w:rFonts w:ascii="宋体" w:hAnsi="宋体" w:cs="宋体"/>
                <w:sz w:val="20"/>
              </w:rPr>
            </w:pPr>
            <w:r>
              <w:rPr>
                <w:rFonts w:hint="eastAsia" w:ascii="宋体" w:hAnsi="宋体" w:cs="宋体"/>
                <w:sz w:val="20"/>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AC260"/>
    <w:multiLevelType w:val="singleLevel"/>
    <w:tmpl w:val="734AC2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94F50"/>
    <w:rsid w:val="7C194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2020-06-10T04:41:00Z</dcterms:created>
  <dc:creator>徐胖胖*_*</dc:creator>
  <cp:lastModifiedBy>徐胖胖*_*</cp:lastModifiedBy>
  <dcterms:modified xsi:type="dcterms:W3CDTF">2020-06-10T04:44:32Z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