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DA" w:rsidRDefault="005E0026">
      <w:pPr>
        <w:rPr>
          <w:b/>
          <w:bCs/>
        </w:rPr>
      </w:pPr>
      <w:r>
        <w:rPr>
          <w:rFonts w:hint="eastAsia"/>
          <w:b/>
          <w:bCs/>
        </w:rPr>
        <w:t>康复平台</w:t>
      </w:r>
      <w:r w:rsidR="003740F5" w:rsidRPr="00FB77EC">
        <w:rPr>
          <w:rFonts w:hint="eastAsia"/>
          <w:b/>
          <w:bCs/>
        </w:rPr>
        <w:t>技术参数</w:t>
      </w:r>
    </w:p>
    <w:p w:rsidR="00FB77EC" w:rsidRPr="00FB77EC" w:rsidRDefault="00FB77EC">
      <w:pPr>
        <w:rPr>
          <w:b/>
          <w:bCs/>
        </w:rPr>
      </w:pPr>
    </w:p>
    <w:tbl>
      <w:tblPr>
        <w:tblW w:w="9181" w:type="dxa"/>
        <w:tblLook w:val="04A0"/>
      </w:tblPr>
      <w:tblGrid>
        <w:gridCol w:w="437"/>
        <w:gridCol w:w="1089"/>
        <w:gridCol w:w="708"/>
        <w:gridCol w:w="6947"/>
      </w:tblGrid>
      <w:tr w:rsidR="00FB77EC" w:rsidTr="0074193F">
        <w:trPr>
          <w:trHeight w:val="20"/>
        </w:trPr>
        <w:tc>
          <w:tcPr>
            <w:tcW w:w="437" w:type="dxa"/>
            <w:tcBorders>
              <w:top w:val="single" w:sz="4" w:space="0" w:color="auto"/>
              <w:left w:val="single" w:sz="4" w:space="0" w:color="auto"/>
              <w:bottom w:val="single" w:sz="4" w:space="0" w:color="auto"/>
              <w:right w:val="single" w:sz="4" w:space="0" w:color="auto"/>
            </w:tcBorders>
            <w:noWrap/>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1089" w:type="dxa"/>
            <w:tcBorders>
              <w:top w:val="single" w:sz="4" w:space="0" w:color="auto"/>
              <w:left w:val="nil"/>
              <w:bottom w:val="single" w:sz="4" w:space="0" w:color="auto"/>
              <w:right w:val="single" w:sz="4" w:space="0" w:color="auto"/>
            </w:tcBorders>
            <w:noWrap/>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模块名称</w:t>
            </w:r>
          </w:p>
        </w:tc>
        <w:tc>
          <w:tcPr>
            <w:tcW w:w="708" w:type="dxa"/>
            <w:tcBorders>
              <w:top w:val="single" w:sz="4" w:space="0" w:color="auto"/>
              <w:left w:val="nil"/>
              <w:bottom w:val="single" w:sz="4" w:space="0" w:color="auto"/>
              <w:right w:val="single" w:sz="4" w:space="0" w:color="auto"/>
            </w:tcBorders>
            <w:noWrap/>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分类项</w:t>
            </w:r>
          </w:p>
        </w:tc>
        <w:tc>
          <w:tcPr>
            <w:tcW w:w="6947" w:type="dxa"/>
            <w:tcBorders>
              <w:top w:val="single" w:sz="4" w:space="0" w:color="auto"/>
              <w:left w:val="nil"/>
              <w:bottom w:val="single" w:sz="4" w:space="0" w:color="auto"/>
              <w:right w:val="single" w:sz="4" w:space="0" w:color="auto"/>
            </w:tcBorders>
            <w:noWrap/>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详细描述</w:t>
            </w:r>
          </w:p>
        </w:tc>
      </w:tr>
      <w:tr w:rsidR="00FB77EC" w:rsidTr="0074193F">
        <w:trPr>
          <w:trHeight w:val="20"/>
        </w:trPr>
        <w:tc>
          <w:tcPr>
            <w:tcW w:w="437" w:type="dxa"/>
            <w:vMerge w:val="restart"/>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门诊医生工作站</w:t>
            </w: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支持门诊康复专科病历</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带有诊断分型模块。</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带有流转去向模块。</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带有知情同意书模块。</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支持门诊治疗提交功能。</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具有门诊评估量表不少于150个。</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支持治疗预约。</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具有门诊治疗绩效管理功能。</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具有门诊治疗医嘱管理功能。</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通过360视图查看患者的各种康复信息。</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宋体" w:hint="eastAsia"/>
                <w:color w:val="000000"/>
                <w:kern w:val="0"/>
                <w:sz w:val="20"/>
                <w:szCs w:val="20"/>
              </w:rPr>
              <w:t>可对患者通过颜色设定各种标签。</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具有代理提交功能。</w:t>
            </w:r>
          </w:p>
        </w:tc>
      </w:tr>
      <w:tr w:rsidR="00FB77EC" w:rsidTr="0074193F">
        <w:trPr>
          <w:trHeight w:val="20"/>
        </w:trPr>
        <w:tc>
          <w:tcPr>
            <w:tcW w:w="437" w:type="dxa"/>
            <w:vMerge w:val="restart"/>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住院医生工作站</w:t>
            </w: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strike/>
                <w:color w:val="000000"/>
                <w:kern w:val="0"/>
                <w:sz w:val="20"/>
                <w:szCs w:val="20"/>
              </w:rPr>
            </w:pPr>
            <w:r>
              <w:rPr>
                <w:rFonts w:ascii="仿宋" w:eastAsia="仿宋" w:hAnsi="仿宋" w:cs="宋体" w:hint="eastAsia"/>
                <w:color w:val="000000"/>
                <w:kern w:val="0"/>
                <w:sz w:val="20"/>
                <w:szCs w:val="20"/>
              </w:rPr>
              <w:t>支持出院患者治疗、评定信息查看、打印。</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支持根据病种推荐预设方案、历史治疗方案、推荐方案。</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支持床边移动评估。</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图形化评估对比分析。</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通过360视图查看患者的各种康复信息。</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可对患者通过颜色设定各种标签。</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支持治疗任务智能指派及手动指派。</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支持录入医保费用限额，以控制治疗次数。</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评价会工作站</w:t>
            </w: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支持创建初期、中期、末期评价会。</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支持评价会任务自动推送和提醒功能。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支持评价会各个成员有独立操作界面和独立权限。</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支持评价会结果汇总、修改、审核、提交功能。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支持评价会开始时间和结束时间自定义功能。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支持参与评价会成员自定义功能。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支持每次评价会名称修改功能。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支持评价会进度信息提醒功能。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支持下次评价会预约与自动提醒功能。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支持评价会结果可复制功能。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支持评估结果自动归并病历夹功能。</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康复评定工作站</w:t>
            </w: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b/>
                <w:bCs/>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strike/>
                <w:color w:val="000000"/>
                <w:kern w:val="0"/>
                <w:sz w:val="20"/>
                <w:szCs w:val="20"/>
              </w:rPr>
            </w:pPr>
            <w:r>
              <w:rPr>
                <w:rFonts w:ascii="仿宋" w:eastAsia="仿宋" w:hAnsi="仿宋" w:cs="仿宋" w:hint="eastAsia"/>
                <w:sz w:val="20"/>
                <w:szCs w:val="20"/>
              </w:rPr>
              <w:t>支持评估过程中实时查看医嘱、检验检查、病历、治疗记录等信息</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支持自动推荐方案功能，主要包含模板方案、历史方案和专家方案</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评估报告打印支持个性化设置。</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评估过程支持视频采集和回访、对比。</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持评估结果对比分析，至少包括数值对比、图线对比、视频对比三种对比方式</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宋体" w:hAnsi="宋体" w:hint="eastAsia"/>
                <w:color w:val="000000"/>
                <w:szCs w:val="21"/>
              </w:rPr>
              <w:t>★</w:t>
            </w:r>
            <w:r>
              <w:rPr>
                <w:rFonts w:ascii="仿宋" w:eastAsia="仿宋" w:hAnsi="仿宋" w:cs="仿宋" w:hint="eastAsia"/>
                <w:sz w:val="20"/>
                <w:szCs w:val="20"/>
              </w:rPr>
              <w:t>peabody评估量表同时有常模支持、不少于310个评估指导图片支持和不少于200个干预支持，其中每个干预都包含训练目标和训练方法详细说明</w:t>
            </w:r>
            <w:r>
              <w:rPr>
                <w:rFonts w:ascii="仿宋" w:eastAsia="仿宋" w:hAnsi="仿宋" w:cs="仿宋" w:hint="eastAsia"/>
                <w:b/>
                <w:bCs/>
                <w:sz w:val="20"/>
                <w:szCs w:val="20"/>
              </w:rPr>
              <w:t>（需提供产品现场演示）</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支持治疗师建议医嘱自动推送主管医生。</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支持评估结果查询功能。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支持评估模板自定义功能。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支持综合评估报告自定义功能。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支持音视频与医生评定医嘱绑定，形成闭环管理。</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支持对评估完成时间质量控制管理功能。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宋体" w:hAnsi="宋体" w:hint="eastAsia"/>
                <w:color w:val="000000"/>
                <w:szCs w:val="21"/>
              </w:rPr>
              <w:t>★</w:t>
            </w:r>
            <w:r>
              <w:rPr>
                <w:rFonts w:ascii="仿宋" w:eastAsia="仿宋" w:hAnsi="仿宋" w:cs="仿宋" w:hint="eastAsia"/>
                <w:sz w:val="20"/>
                <w:szCs w:val="20"/>
              </w:rPr>
              <w:t>每个量表的每个题目和评估选项都可与ICF-CY建立对应关系，</w:t>
            </w:r>
            <w:r>
              <w:rPr>
                <w:rFonts w:ascii="仿宋" w:eastAsia="仿宋" w:hAnsi="仿宋" w:cs="仿宋" w:hint="eastAsia"/>
                <w:b/>
                <w:bCs/>
                <w:sz w:val="20"/>
                <w:szCs w:val="20"/>
              </w:rPr>
              <w:t>（以GMFM为例进行现场演示）。</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宋体" w:hAnsi="宋体" w:hint="eastAsia"/>
                <w:color w:val="000000"/>
                <w:szCs w:val="21"/>
              </w:rPr>
              <w:t>★</w:t>
            </w:r>
            <w:r>
              <w:rPr>
                <w:rFonts w:ascii="仿宋" w:eastAsia="仿宋" w:hAnsi="仿宋" w:cs="仿宋" w:hint="eastAsia"/>
                <w:sz w:val="20"/>
                <w:szCs w:val="20"/>
              </w:rPr>
              <w:t>Griffiths精神发育量表自带常模，生成评估报告</w:t>
            </w:r>
            <w:r>
              <w:rPr>
                <w:rFonts w:ascii="仿宋" w:eastAsia="仿宋" w:hAnsi="仿宋" w:cs="仿宋" w:hint="eastAsia"/>
                <w:b/>
                <w:bCs/>
                <w:sz w:val="20"/>
                <w:szCs w:val="20"/>
              </w:rPr>
              <w:t>（需提供产品现场演示）</w:t>
            </w:r>
            <w:r>
              <w:rPr>
                <w:rFonts w:ascii="仿宋" w:eastAsia="仿宋" w:hAnsi="仿宋" w:cs="仿宋" w:hint="eastAsia"/>
                <w:sz w:val="20"/>
                <w:szCs w:val="20"/>
              </w:rPr>
              <w:t>。</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支持根据评定结果自动生成评定报告。</w:t>
            </w:r>
          </w:p>
        </w:tc>
      </w:tr>
      <w:tr w:rsidR="00FB77EC" w:rsidTr="0074193F">
        <w:trPr>
          <w:trHeight w:val="20"/>
        </w:trPr>
        <w:tc>
          <w:tcPr>
            <w:tcW w:w="437" w:type="dxa"/>
            <w:vMerge w:val="restart"/>
            <w:tcBorders>
              <w:top w:val="single" w:sz="4" w:space="0" w:color="auto"/>
              <w:left w:val="single" w:sz="4" w:space="0" w:color="auto"/>
              <w:bottom w:val="nil"/>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nil"/>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治疗工作站</w:t>
            </w: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可自动同步HIS康复治疗医嘱。</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带有模板干预模式：每种干预手段都要求提供详细的干预模板；请以认知训练为例，提供截图展示。</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★带有自动干预模式：内置大数据分析，部分量表可以根据评估结果自动生成干预计划（包括分解动作名称、动作目标、动作要领、注意事项等内容，提供不少于60个自动干预模式，现场演示）。</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支持治疗医嘱自动分配功能。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支持治疗医嘱扣费结果与HIS自动同步功能。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自动生成患者治疗执行结果，并以时间轴方式展示。</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支持显示治疗项目的部位数或组数，支持用图片标记治疗部位。</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支持在治疗执行可见剂量、方案名、设备名、嘱托信息。</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支持执行时可根据实际执行数量进行执行、执行结果与HIS同步。</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支持未执行完成的部位数可以继续执行、执行结果与HIS同步。</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color w:val="000000" w:themeColor="text1"/>
                <w:sz w:val="20"/>
                <w:szCs w:val="20"/>
              </w:rPr>
              <w:t>支持治疗未做备注自动记录在该患者留言板。</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支持治疗未执行可自动反馈和统计。</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支持补计费功能。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支持退费功能。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支持代理执行治疗项目收费功能。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支持治疗师只能执行自己所在治疗区的项目模式，根据权限设置也可执行任意治疗区项目。</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支持各个治疗区的可执行治疗项目可自定义功能。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支持治疗师名、床号、患者名、项目名称快速搜索执行项目功能。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支持治疗执行时自动生成治疗记录，并可修改。</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支持治疗执行撤销功能。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支持收费、取消收费有对应状态标记。</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支持治疗任务自动接收、查看功能。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支持治疗执行时可填写治疗结论、治疗量、不良反应等信息，生成治疗记录单可打印出来。</w:t>
            </w:r>
          </w:p>
        </w:tc>
      </w:tr>
      <w:tr w:rsidR="00FB77EC" w:rsidTr="0074193F">
        <w:trPr>
          <w:trHeight w:val="20"/>
        </w:trPr>
        <w:tc>
          <w:tcPr>
            <w:tcW w:w="437" w:type="dxa"/>
            <w:vMerge w:val="restart"/>
            <w:tcBorders>
              <w:top w:val="single" w:sz="4" w:space="0" w:color="auto"/>
              <w:left w:val="single" w:sz="4" w:space="0" w:color="auto"/>
              <w:bottom w:val="nil"/>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康复电子文书系统</w:t>
            </w: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支持首次治疗记录、阶段治疗记录、治疗师查房记录、评估报告、交班记录等结构化编写功能。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支持治疗记录模板自定义，方便治疗师快速录入。</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支持治疗文书时间质控管理。</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支持治疗记录文书质量审核功能。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支持评估文书质量等级评分功能。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支持通过时间轴的方式展示患者治疗全过程。</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支持360视图，即:医嘱信息、护理信息、康复记录、评估结果信息在一个页面全可查阅。</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支持康复标签自定义功能。</w:t>
            </w:r>
          </w:p>
        </w:tc>
      </w:tr>
      <w:tr w:rsidR="00FB77EC" w:rsidTr="0074193F">
        <w:trPr>
          <w:trHeight w:val="20"/>
        </w:trPr>
        <w:tc>
          <w:tcPr>
            <w:tcW w:w="0" w:type="auto"/>
            <w:vMerge/>
            <w:tcBorders>
              <w:top w:val="single" w:sz="4" w:space="0" w:color="auto"/>
              <w:left w:val="single" w:sz="4" w:space="0" w:color="auto"/>
              <w:bottom w:val="nil"/>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支持医治护留言提醒功能。</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支持康复文书可上传集成到HIS。</w:t>
            </w:r>
          </w:p>
        </w:tc>
      </w:tr>
      <w:tr w:rsidR="00FB77EC" w:rsidTr="0074193F">
        <w:trPr>
          <w:trHeight w:val="20"/>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排班工作站</w:t>
            </w:r>
          </w:p>
        </w:tc>
        <w:tc>
          <w:tcPr>
            <w:tcW w:w="708" w:type="dxa"/>
            <w:tcBorders>
              <w:top w:val="single" w:sz="4" w:space="0" w:color="auto"/>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支持根据治疗师、治疗设备、治疗区、治疗时间、患者多维度情况进行智能合理的排班安排。</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支持机动排班。</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支持只有同步过来的医嘱才可排班模式，并支持大屏幕显示。</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支持自定义治疗项目也可排班的模式，并支持大屏幕显示。</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支持二维码或腕带等介质进行患者识别进行排队管理。</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支持取消排队记录。</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支持治疗师只能操作自己所辖的队列模式</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支持治疗师能对所辖治疗区所有项目排班操作模式。</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支持治疗排队管理功能。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支持排队信息大屏展示。</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支持智能算法排班功能，并支持微调。</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住院排班：在一个排班界面可同时看到治疗师、治疗设备/项目、患者三者的全天时间安排，时间安排展示方式为时间轴方式，时间轴范围为08点~18点且连续、均匀分布，精度为1分钟；治疗项目安排在时间轴内且连续可调，连续可调方式为通过鼠标左右移动，移动精度为1分钟；在时间轴上可标记出治疗项目起止时间，起止时间长度等于治疗项目执行时间长度；一个患者任意治疗项目之间时间间隔为1-60分钟连续可调，精度为1分钟；一个治疗师的治疗项目在时间轴上可重叠，重叠项目数量1-10个可调，重叠时间长度1-60分钟连续可调，精度为1分钟</w:t>
            </w:r>
            <w:r>
              <w:rPr>
                <w:rFonts w:ascii="仿宋" w:eastAsia="仿宋" w:hAnsi="仿宋" w:cs="仿宋" w:hint="eastAsia"/>
                <w:b/>
                <w:bCs/>
                <w:sz w:val="20"/>
                <w:szCs w:val="20"/>
              </w:rPr>
              <w:t>（需提供产品现场演示）。</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移动工作站</w:t>
            </w: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评估功能模块可运行于安卓和苹果以及windows系统。</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自动同步HIS医嘱和患者基本信息。</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支持患者搜索功能。</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通过治疗卡、住院号、腕带等快速定位患者。</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实现所见即所得的评定方式，自动生成评定结果。</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快速比较单个量表集体项目的评定结果，精确定位功能问题。</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支持查看患者基本信息和评估结果。</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治疗过程中支持视频采集。</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记录患者康复治疗次数。</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添加治疗备注。</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实现治疗次数记录的患者确认，支持扫描患者治疗卡。</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支持查看治疗师每日排班情况，支持查看当日的工作统计。</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支持按治疗组、病区或者科室管理患者，方便快速查找患者。</w:t>
            </w:r>
          </w:p>
        </w:tc>
      </w:tr>
      <w:tr w:rsidR="00FB77EC" w:rsidTr="0074193F">
        <w:trPr>
          <w:trHeight w:val="20"/>
        </w:trPr>
        <w:tc>
          <w:tcPr>
            <w:tcW w:w="437" w:type="dxa"/>
            <w:vMerge w:val="restart"/>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决策支持工作站</w:t>
            </w: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智能推荐评估方案，并允许调整。</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智能推荐治疗方案，并允许调整。</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★GMFM-88带有自动干预模式，即是说可根据评估结果自动生成干预方案，每</w:t>
            </w:r>
            <w:r>
              <w:rPr>
                <w:rFonts w:ascii="仿宋" w:eastAsia="仿宋" w:hAnsi="仿宋" w:cs="仿宋" w:hint="eastAsia"/>
                <w:sz w:val="20"/>
                <w:szCs w:val="20"/>
              </w:rPr>
              <w:lastRenderedPageBreak/>
              <w:t>个干预方案包括方法名、目的、起始位置、训练动作、使用器材、注意事项，GMFM-88自带自动干预方案不少于80个</w:t>
            </w:r>
            <w:r>
              <w:rPr>
                <w:rFonts w:ascii="仿宋" w:eastAsia="仿宋" w:hAnsi="仿宋" w:cs="仿宋" w:hint="eastAsia"/>
                <w:b/>
                <w:bCs/>
                <w:sz w:val="20"/>
                <w:szCs w:val="20"/>
              </w:rPr>
              <w:t>（需提供产品现场演示）</w:t>
            </w:r>
            <w:r>
              <w:rPr>
                <w:rFonts w:ascii="仿宋" w:eastAsia="仿宋" w:hAnsi="仿宋" w:cs="仿宋" w:hint="eastAsia"/>
                <w:sz w:val="20"/>
                <w:szCs w:val="20"/>
              </w:rPr>
              <w:t>。</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患者查询工作站</w:t>
            </w: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支持患者通过自助查询机给医生、治疗师留言。</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支持通过自助查询机实现患者的治疗信息查询。</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支持通过自助查询机实现患者的评定的信息查询。</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支持患者每日治疗费用情况。</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支持患者自主查询其排班情况。</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支持患者扫码签到功能。</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家庭康复工作站</w:t>
            </w: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制定家庭训练方案。</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70C0"/>
                <w:kern w:val="0"/>
                <w:sz w:val="20"/>
                <w:szCs w:val="20"/>
              </w:rPr>
            </w:pPr>
            <w:r>
              <w:rPr>
                <w:rFonts w:ascii="仿宋" w:eastAsia="仿宋" w:hAnsi="仿宋" w:cs="仿宋" w:hint="eastAsia"/>
                <w:color w:val="0070C0"/>
                <w:sz w:val="20"/>
                <w:szCs w:val="20"/>
              </w:rPr>
              <w:t>支持家庭训练方案指导。</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支持训练方案和随访绑定。</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康复随访系统</w:t>
            </w: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b/>
                <w:bCs/>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支持随访表单制定。</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支持随访提醒通知。</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支持设定下次随访时间。</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支持随访内容模板制定。</w:t>
            </w:r>
          </w:p>
        </w:tc>
      </w:tr>
      <w:tr w:rsidR="00FB77EC" w:rsidTr="0074193F">
        <w:trPr>
          <w:trHeight w:val="20"/>
        </w:trPr>
        <w:tc>
          <w:tcPr>
            <w:tcW w:w="437" w:type="dxa"/>
            <w:vMerge w:val="restart"/>
            <w:tcBorders>
              <w:top w:val="nil"/>
              <w:left w:val="single" w:sz="4" w:space="0" w:color="auto"/>
              <w:bottom w:val="single" w:sz="4" w:space="0" w:color="000000"/>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000000"/>
              <w:right w:val="single" w:sz="4" w:space="0" w:color="auto"/>
            </w:tcBorders>
            <w:vAlign w:val="center"/>
            <w:hideMark/>
          </w:tcPr>
          <w:p w:rsidR="00FB77EC" w:rsidRDefault="00FB77EC">
            <w:pPr>
              <w:widowControl/>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查询统计工作站</w:t>
            </w: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b/>
                <w:bCs/>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统计科室的所有项目，包括设备使用率、治疗人次、治疗费用、工作量统计、量表统计、绩效统计、患者治疗情况统计、以及患者请假与终止 治疗情况统计。</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支持生成日报、周报、月报等。</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统计康复评定率、住院患者评估完成情况、住院患者评估超时完成情况等质控分析，并支持以图文形式展现；</w:t>
            </w:r>
          </w:p>
        </w:tc>
      </w:tr>
      <w:tr w:rsidR="00FB77EC" w:rsidTr="0074193F">
        <w:trPr>
          <w:trHeight w:val="20"/>
        </w:trPr>
        <w:tc>
          <w:tcPr>
            <w:tcW w:w="437" w:type="dxa"/>
            <w:vMerge w:val="restart"/>
            <w:tcBorders>
              <w:top w:val="single" w:sz="4" w:space="0" w:color="000000"/>
              <w:left w:val="single" w:sz="4" w:space="0" w:color="auto"/>
              <w:bottom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科研工作站</w:t>
            </w:r>
          </w:p>
        </w:tc>
        <w:tc>
          <w:tcPr>
            <w:tcW w:w="708" w:type="dxa"/>
            <w:tcBorders>
              <w:top w:val="nil"/>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根据患者提供快速的历次病历、评定量表、康复文书等资料检索。</w:t>
            </w:r>
          </w:p>
        </w:tc>
      </w:tr>
      <w:tr w:rsidR="00FB77EC" w:rsidTr="0074193F">
        <w:trPr>
          <w:trHeight w:val="20"/>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根据病种进行相关病历、治疗文书、评定量表检索及查询。</w:t>
            </w:r>
          </w:p>
        </w:tc>
      </w:tr>
      <w:tr w:rsidR="00FB77EC" w:rsidTr="0074193F">
        <w:trPr>
          <w:trHeight w:val="20"/>
        </w:trPr>
        <w:tc>
          <w:tcPr>
            <w:tcW w:w="0" w:type="auto"/>
            <w:vMerge/>
            <w:tcBorders>
              <w:top w:val="single" w:sz="4" w:space="0" w:color="000000"/>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仿宋"/>
                <w:sz w:val="20"/>
                <w:szCs w:val="20"/>
              </w:rPr>
            </w:pPr>
            <w:r>
              <w:rPr>
                <w:rFonts w:ascii="仿宋" w:eastAsia="仿宋" w:hAnsi="仿宋" w:cs="仿宋" w:hint="eastAsia"/>
                <w:sz w:val="20"/>
                <w:szCs w:val="20"/>
              </w:rPr>
              <w:t>根据评定量表独立检索量表相关的使用记录。</w:t>
            </w:r>
          </w:p>
        </w:tc>
      </w:tr>
      <w:tr w:rsidR="00FB77EC" w:rsidTr="0074193F">
        <w:trPr>
          <w:trHeight w:val="20"/>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rsidR="00FB77EC" w:rsidRPr="00FB77EC" w:rsidRDefault="00FB77EC" w:rsidP="00FB77EC">
            <w:pPr>
              <w:pStyle w:val="a9"/>
              <w:widowControl/>
              <w:numPr>
                <w:ilvl w:val="0"/>
                <w:numId w:val="10"/>
              </w:numPr>
              <w:ind w:firstLineChars="0"/>
              <w:jc w:val="center"/>
              <w:rPr>
                <w:rFonts w:ascii="仿宋" w:eastAsia="仿宋" w:hAnsi="仿宋" w:cs="宋体"/>
                <w:b/>
                <w:bCs/>
                <w:color w:val="000000"/>
                <w:kern w:val="0"/>
                <w:sz w:val="20"/>
                <w:szCs w:val="20"/>
              </w:rPr>
            </w:pP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专家知识库</w:t>
            </w:r>
          </w:p>
        </w:tc>
        <w:tc>
          <w:tcPr>
            <w:tcW w:w="708" w:type="dxa"/>
            <w:tcBorders>
              <w:top w:val="single" w:sz="4" w:space="0" w:color="auto"/>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支持康复电子图书馆功能。</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仿宋"/>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支持专家知识库文章阅读。</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仿宋"/>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通过评定结果查询治疗方案。</w:t>
            </w:r>
          </w:p>
        </w:tc>
      </w:tr>
      <w:tr w:rsidR="00FB77EC" w:rsidTr="0074193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仿宋"/>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提供康复相关技术教学视频。</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病例检索</w:t>
            </w:r>
          </w:p>
        </w:tc>
        <w:tc>
          <w:tcPr>
            <w:tcW w:w="708" w:type="dxa"/>
            <w:tcBorders>
              <w:top w:val="nil"/>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根据患者提供快速的历次病历、评定量表、康复文书等资料检索。</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根据病种进行相关病历、治疗文书、评定量表检索及查询。</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根据评定量表独立检索量表相关的使用记录。</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nil"/>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支持不同患者同一量表进行对比；</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病历夹管理系统</w:t>
            </w:r>
          </w:p>
        </w:tc>
        <w:tc>
          <w:tcPr>
            <w:tcW w:w="708" w:type="dxa"/>
            <w:tcBorders>
              <w:top w:val="single" w:sz="4" w:space="0" w:color="auto"/>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支持治疗师对病人的治疗全过程管理和了解。</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支持通过时间轴的方式展示患者治疗全过程。</w:t>
            </w:r>
          </w:p>
        </w:tc>
      </w:tr>
      <w:tr w:rsidR="00FB77EC" w:rsidTr="0074193F">
        <w:trPr>
          <w:trHeight w:val="20"/>
        </w:trPr>
        <w:tc>
          <w:tcPr>
            <w:tcW w:w="437" w:type="dxa"/>
            <w:vMerge w:val="restart"/>
            <w:tcBorders>
              <w:top w:val="nil"/>
              <w:left w:val="single" w:sz="4" w:space="0" w:color="auto"/>
              <w:bottom w:val="single" w:sz="4" w:space="0" w:color="000000"/>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000000"/>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康复看板系统</w:t>
            </w:r>
          </w:p>
        </w:tc>
        <w:tc>
          <w:tcPr>
            <w:tcW w:w="708" w:type="dxa"/>
            <w:tcBorders>
              <w:top w:val="nil"/>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支持通过看板了解患者的医嘱信息、护理信息、康复治疗信息。</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支持根据患者情况增删康复标签。</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支持医治护留言功能，并能按时间顺序展示。</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支持调取患者的评定量表及报告进行查阅。</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支持需要隔离或接触注意等患者，医、技、护三方即时有红色提醒</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pPr>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针对医护治的每日工作任务，提供待办任务提示及执行功能</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支持查看治疗师每日排班情况，支持查看当日的工作统计。</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支持查看患者基本信息。</w:t>
            </w:r>
          </w:p>
        </w:tc>
      </w:tr>
      <w:tr w:rsidR="00FB77EC" w:rsidTr="0074193F">
        <w:trPr>
          <w:trHeight w:val="20"/>
        </w:trPr>
        <w:tc>
          <w:tcPr>
            <w:tcW w:w="0" w:type="auto"/>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000000"/>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支持精确记录开始治疗时间、结束治疗的时间；</w:t>
            </w:r>
          </w:p>
        </w:tc>
      </w:tr>
      <w:tr w:rsidR="00FB77EC" w:rsidTr="0074193F">
        <w:trPr>
          <w:trHeight w:val="20"/>
        </w:trPr>
        <w:tc>
          <w:tcPr>
            <w:tcW w:w="437" w:type="dxa"/>
            <w:vMerge w:val="restart"/>
            <w:tcBorders>
              <w:top w:val="nil"/>
              <w:left w:val="single" w:sz="4" w:space="0" w:color="auto"/>
              <w:bottom w:val="single" w:sz="4" w:space="0" w:color="auto"/>
              <w:right w:val="single" w:sz="4" w:space="0" w:color="auto"/>
            </w:tcBorders>
            <w:vAlign w:val="center"/>
            <w:hideMark/>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nil"/>
              <w:left w:val="single" w:sz="4" w:space="0" w:color="auto"/>
              <w:bottom w:val="single" w:sz="4" w:space="0" w:color="auto"/>
              <w:right w:val="single" w:sz="4" w:space="0" w:color="auto"/>
            </w:tcBorders>
            <w:vAlign w:val="center"/>
            <w:hideMark/>
          </w:tcPr>
          <w:p w:rsidR="00FB77EC" w:rsidRDefault="00FB77E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康复OA系统</w:t>
            </w:r>
          </w:p>
        </w:tc>
        <w:tc>
          <w:tcPr>
            <w:tcW w:w="708" w:type="dxa"/>
            <w:tcBorders>
              <w:top w:val="nil"/>
              <w:left w:val="nil"/>
              <w:bottom w:val="single" w:sz="4" w:space="0" w:color="auto"/>
              <w:right w:val="single" w:sz="4" w:space="0" w:color="auto"/>
            </w:tcBorders>
            <w:vAlign w:val="center"/>
            <w:hideMark/>
          </w:tcPr>
          <w:p w:rsidR="00FB77EC" w:rsidRP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支持医生、治疗师等医务人员实时沟通。</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支持自动生成团队会议参会成员的群组会话。</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支持留言分紧急发送和一般发送。</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nil"/>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支持电脑端和移动端消息互通</w:t>
            </w:r>
          </w:p>
        </w:tc>
      </w:tr>
      <w:tr w:rsidR="00FB77EC" w:rsidTr="0074193F">
        <w:trPr>
          <w:trHeight w:val="20"/>
        </w:trPr>
        <w:tc>
          <w:tcPr>
            <w:tcW w:w="0" w:type="auto"/>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p>
        </w:tc>
        <w:tc>
          <w:tcPr>
            <w:tcW w:w="1089" w:type="dxa"/>
            <w:vMerge/>
            <w:tcBorders>
              <w:top w:val="nil"/>
              <w:left w:val="single" w:sz="4" w:space="0" w:color="auto"/>
              <w:bottom w:val="single" w:sz="4" w:space="0" w:color="auto"/>
              <w:right w:val="single" w:sz="4" w:space="0" w:color="auto"/>
            </w:tcBorders>
            <w:vAlign w:val="center"/>
            <w:hideMark/>
          </w:tcPr>
          <w:p w:rsidR="00FB77EC" w:rsidRDefault="00FB77EC">
            <w:pPr>
              <w:widowControl/>
              <w:jc w:val="left"/>
              <w:rPr>
                <w:rFonts w:ascii="仿宋" w:eastAsia="仿宋" w:hAnsi="仿宋" w:cs="宋体"/>
                <w:b/>
                <w:bCs/>
                <w:color w:val="000000"/>
                <w:kern w:val="0"/>
                <w:sz w:val="20"/>
                <w:szCs w:val="20"/>
              </w:rPr>
            </w:pPr>
          </w:p>
        </w:tc>
        <w:tc>
          <w:tcPr>
            <w:tcW w:w="708" w:type="dxa"/>
            <w:tcBorders>
              <w:top w:val="nil"/>
              <w:left w:val="nil"/>
              <w:bottom w:val="single" w:sz="4" w:space="0" w:color="auto"/>
              <w:right w:val="single" w:sz="4" w:space="0" w:color="auto"/>
            </w:tcBorders>
            <w:vAlign w:val="center"/>
            <w:hideMark/>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nil"/>
              <w:left w:val="nil"/>
              <w:bottom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支持根据病种推荐预设方案、历史治疗方案、推荐方案；</w:t>
            </w:r>
          </w:p>
        </w:tc>
      </w:tr>
      <w:tr w:rsidR="00FB77EC" w:rsidTr="0074193F">
        <w:trPr>
          <w:trHeight w:val="20"/>
        </w:trPr>
        <w:tc>
          <w:tcPr>
            <w:tcW w:w="437" w:type="dxa"/>
            <w:vMerge w:val="restart"/>
            <w:tcBorders>
              <w:top w:val="single" w:sz="4" w:space="0" w:color="auto"/>
              <w:left w:val="single" w:sz="4" w:space="0" w:color="auto"/>
              <w:right w:val="single" w:sz="4" w:space="0" w:color="auto"/>
            </w:tcBorders>
            <w:vAlign w:val="center"/>
          </w:tcPr>
          <w:p w:rsidR="00FB77EC" w:rsidRDefault="00FB77EC" w:rsidP="00FB77EC">
            <w:pPr>
              <w:pStyle w:val="a9"/>
              <w:widowControl/>
              <w:numPr>
                <w:ilvl w:val="0"/>
                <w:numId w:val="10"/>
              </w:numPr>
              <w:ind w:firstLineChars="0"/>
              <w:jc w:val="center"/>
              <w:rPr>
                <w:rFonts w:ascii="仿宋" w:eastAsia="仿宋" w:hAnsi="仿宋" w:cs="宋体"/>
                <w:color w:val="000000"/>
                <w:kern w:val="0"/>
                <w:sz w:val="20"/>
                <w:szCs w:val="20"/>
              </w:rPr>
            </w:pPr>
          </w:p>
        </w:tc>
        <w:tc>
          <w:tcPr>
            <w:tcW w:w="1089" w:type="dxa"/>
            <w:vMerge w:val="restart"/>
            <w:tcBorders>
              <w:top w:val="single" w:sz="4" w:space="0" w:color="auto"/>
              <w:left w:val="single" w:sz="4" w:space="0" w:color="auto"/>
              <w:right w:val="single" w:sz="4" w:space="0" w:color="auto"/>
            </w:tcBorders>
            <w:vAlign w:val="center"/>
            <w:hideMark/>
          </w:tcPr>
          <w:p w:rsidR="00FB77EC" w:rsidRDefault="00FB77E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其他</w:t>
            </w: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widowControl/>
              <w:jc w:val="left"/>
              <w:rPr>
                <w:rFonts w:ascii="仿宋" w:eastAsia="仿宋" w:hAnsi="仿宋" w:cs="宋体"/>
                <w:color w:val="000000"/>
                <w:kern w:val="0"/>
                <w:sz w:val="20"/>
                <w:szCs w:val="20"/>
              </w:rPr>
            </w:pPr>
            <w:r>
              <w:rPr>
                <w:rFonts w:ascii="仿宋" w:eastAsia="仿宋" w:hAnsi="仿宋" w:cs="仿宋" w:hint="eastAsia"/>
                <w:sz w:val="20"/>
                <w:szCs w:val="20"/>
              </w:rPr>
              <w:t>康复医疗质量控制管理信息化支持，区域康复医联体信息共享数学化支持，提供符合电子病历5、6级评审接口规范。</w:t>
            </w:r>
          </w:p>
        </w:tc>
      </w:tr>
      <w:tr w:rsidR="00FB77EC" w:rsidTr="0074193F">
        <w:trPr>
          <w:trHeight w:val="20"/>
        </w:trPr>
        <w:tc>
          <w:tcPr>
            <w:tcW w:w="437"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1089"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tabs>
                <w:tab w:val="left" w:pos="600"/>
              </w:tabs>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rPr>
                <w:rFonts w:ascii="仿宋" w:eastAsia="仿宋" w:hAnsi="仿宋" w:cs="仿宋"/>
                <w:color w:val="0070C0"/>
                <w:sz w:val="20"/>
                <w:szCs w:val="20"/>
              </w:rPr>
            </w:pPr>
            <w:r>
              <w:rPr>
                <w:rFonts w:ascii="仿宋" w:eastAsia="仿宋" w:hAnsi="仿宋" w:cs="仿宋" w:hint="eastAsia"/>
                <w:sz w:val="20"/>
                <w:szCs w:val="20"/>
              </w:rPr>
              <w:t>★</w:t>
            </w:r>
            <w:r>
              <w:rPr>
                <w:rFonts w:ascii="仿宋" w:eastAsia="仿宋" w:hAnsi="仿宋" w:cs="仿宋" w:hint="eastAsia"/>
                <w:color w:val="0070C0"/>
                <w:sz w:val="20"/>
                <w:szCs w:val="20"/>
              </w:rPr>
              <w:t>支持不少于10个疾病功能状态分组收费和支持10个疾病功能分组与对应治疗项目收费设置以及自动统计康复疾病分组治疗每日费用、治疗项目数量、治疗时长、必做项目数量、选做项目数量等信息。</w:t>
            </w:r>
          </w:p>
        </w:tc>
      </w:tr>
      <w:tr w:rsidR="00FB77EC" w:rsidTr="0074193F">
        <w:trPr>
          <w:trHeight w:val="20"/>
        </w:trPr>
        <w:tc>
          <w:tcPr>
            <w:tcW w:w="437"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1089"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tabs>
                <w:tab w:val="left" w:pos="600"/>
              </w:tabs>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rPr>
                <w:rFonts w:ascii="仿宋" w:eastAsia="仿宋" w:hAnsi="仿宋" w:cs="仿宋"/>
                <w:color w:val="0070C0"/>
                <w:sz w:val="20"/>
                <w:szCs w:val="20"/>
              </w:rPr>
            </w:pPr>
            <w:r>
              <w:rPr>
                <w:rFonts w:ascii="仿宋" w:eastAsia="仿宋" w:hAnsi="仿宋" w:cs="仿宋" w:hint="eastAsia"/>
                <w:color w:val="0070C0"/>
                <w:sz w:val="20"/>
                <w:szCs w:val="20"/>
              </w:rPr>
              <w:t>支持医联体远程会诊功能。</w:t>
            </w:r>
          </w:p>
        </w:tc>
      </w:tr>
      <w:tr w:rsidR="00FB77EC" w:rsidTr="0074193F">
        <w:trPr>
          <w:trHeight w:val="20"/>
        </w:trPr>
        <w:tc>
          <w:tcPr>
            <w:tcW w:w="437"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1089"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tabs>
                <w:tab w:val="left" w:pos="600"/>
              </w:tabs>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rPr>
                <w:rFonts w:ascii="仿宋" w:eastAsia="仿宋" w:hAnsi="仿宋" w:cs="仿宋"/>
                <w:color w:val="0070C0"/>
                <w:sz w:val="20"/>
                <w:szCs w:val="20"/>
              </w:rPr>
            </w:pPr>
            <w:r>
              <w:rPr>
                <w:rFonts w:ascii="仿宋" w:eastAsia="仿宋" w:hAnsi="仿宋" w:cs="仿宋" w:hint="eastAsia"/>
                <w:color w:val="0070C0"/>
                <w:sz w:val="20"/>
                <w:szCs w:val="20"/>
              </w:rPr>
              <w:t>支持开放与三级康复网络软件接口。</w:t>
            </w:r>
          </w:p>
        </w:tc>
      </w:tr>
      <w:tr w:rsidR="00FB77EC" w:rsidTr="0074193F">
        <w:trPr>
          <w:trHeight w:val="20"/>
        </w:trPr>
        <w:tc>
          <w:tcPr>
            <w:tcW w:w="437"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1089" w:type="dxa"/>
            <w:vMerge/>
            <w:tcBorders>
              <w:left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tabs>
                <w:tab w:val="left" w:pos="600"/>
              </w:tabs>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rPr>
                <w:rFonts w:ascii="仿宋" w:eastAsia="仿宋" w:hAnsi="仿宋" w:cs="仿宋"/>
                <w:color w:val="0070C0"/>
                <w:sz w:val="20"/>
                <w:szCs w:val="20"/>
              </w:rPr>
            </w:pPr>
            <w:r>
              <w:rPr>
                <w:rFonts w:ascii="仿宋" w:eastAsia="仿宋" w:hAnsi="仿宋" w:cs="仿宋" w:hint="eastAsia"/>
                <w:color w:val="0070C0"/>
                <w:sz w:val="20"/>
                <w:szCs w:val="20"/>
              </w:rPr>
              <w:t>支持治疗师疗效评价，并可指定某量表后计算出治疗师日均得分和每个治疗师疗效排名以及治疗患者数量。</w:t>
            </w:r>
          </w:p>
        </w:tc>
      </w:tr>
      <w:tr w:rsidR="00FB77EC" w:rsidTr="0074193F">
        <w:trPr>
          <w:trHeight w:val="20"/>
        </w:trPr>
        <w:tc>
          <w:tcPr>
            <w:tcW w:w="437" w:type="dxa"/>
            <w:vMerge/>
            <w:tcBorders>
              <w:left w:val="single" w:sz="4" w:space="0" w:color="auto"/>
              <w:bottom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1089" w:type="dxa"/>
            <w:vMerge/>
            <w:tcBorders>
              <w:left w:val="single" w:sz="4" w:space="0" w:color="auto"/>
              <w:bottom w:val="single" w:sz="4" w:space="0" w:color="auto"/>
              <w:right w:val="single" w:sz="4" w:space="0" w:color="auto"/>
            </w:tcBorders>
            <w:vAlign w:val="center"/>
          </w:tcPr>
          <w:p w:rsidR="00FB77EC" w:rsidRDefault="00FB77EC">
            <w:pPr>
              <w:widowControl/>
              <w:jc w:val="left"/>
              <w:rPr>
                <w:rFonts w:ascii="仿宋" w:eastAsia="仿宋" w:hAnsi="仿宋"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B77EC" w:rsidRDefault="00FB77EC" w:rsidP="00FB77EC">
            <w:pPr>
              <w:pStyle w:val="a9"/>
              <w:widowControl/>
              <w:numPr>
                <w:ilvl w:val="1"/>
                <w:numId w:val="10"/>
              </w:numPr>
              <w:tabs>
                <w:tab w:val="left" w:pos="600"/>
              </w:tabs>
              <w:ind w:left="317" w:firstLineChars="0" w:hanging="317"/>
              <w:rPr>
                <w:rFonts w:ascii="仿宋" w:eastAsia="仿宋" w:hAnsi="仿宋" w:cs="宋体"/>
                <w:color w:val="000000"/>
                <w:kern w:val="0"/>
                <w:sz w:val="20"/>
                <w:szCs w:val="20"/>
              </w:rPr>
            </w:pPr>
          </w:p>
        </w:tc>
        <w:tc>
          <w:tcPr>
            <w:tcW w:w="6947" w:type="dxa"/>
            <w:tcBorders>
              <w:top w:val="single" w:sz="4" w:space="0" w:color="auto"/>
              <w:left w:val="single" w:sz="4" w:space="0" w:color="auto"/>
              <w:bottom w:val="single" w:sz="4" w:space="0" w:color="auto"/>
              <w:right w:val="single" w:sz="4" w:space="0" w:color="auto"/>
            </w:tcBorders>
            <w:hideMark/>
          </w:tcPr>
          <w:p w:rsidR="00FB77EC" w:rsidRDefault="00FB77EC">
            <w:pPr>
              <w:rPr>
                <w:rFonts w:ascii="仿宋" w:eastAsia="仿宋" w:hAnsi="仿宋" w:cs="仿宋"/>
                <w:color w:val="0070C0"/>
                <w:sz w:val="20"/>
                <w:szCs w:val="20"/>
              </w:rPr>
            </w:pPr>
            <w:r>
              <w:rPr>
                <w:rFonts w:ascii="仿宋" w:eastAsia="仿宋" w:hAnsi="仿宋" w:cs="仿宋" w:hint="eastAsia"/>
                <w:color w:val="0070C0"/>
                <w:sz w:val="20"/>
                <w:szCs w:val="20"/>
              </w:rPr>
              <w:t>主要通过系统自动获取HIS系统中患者的各项病案信息，根据患者诊断、体格检查、入院记录等关键信息进行主动判断患者康复价值，并提醒相关康复人员，实现康复早期介入，保障康复效果。</w:t>
            </w:r>
          </w:p>
        </w:tc>
      </w:tr>
    </w:tbl>
    <w:p w:rsidR="00FB77EC" w:rsidRPr="00FB77EC" w:rsidRDefault="00FB77EC"/>
    <w:p w:rsidR="00FB77EC" w:rsidRDefault="00FB77EC"/>
    <w:p w:rsidR="008E06DA" w:rsidRPr="00591E91" w:rsidRDefault="005E0026">
      <w:pPr>
        <w:rPr>
          <w:b/>
          <w:bCs/>
        </w:rPr>
      </w:pPr>
      <w:r>
        <w:rPr>
          <w:rFonts w:hint="eastAsia"/>
          <w:b/>
          <w:bCs/>
        </w:rPr>
        <w:t>康复平台</w:t>
      </w:r>
      <w:r w:rsidR="003740F5" w:rsidRPr="00591E91">
        <w:rPr>
          <w:rFonts w:hint="eastAsia"/>
          <w:b/>
          <w:bCs/>
        </w:rPr>
        <w:t>产品配置清单</w:t>
      </w:r>
    </w:p>
    <w:tbl>
      <w:tblPr>
        <w:tblW w:w="86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973"/>
        <w:gridCol w:w="5528"/>
      </w:tblGrid>
      <w:tr w:rsidR="00591E91" w:rsidRPr="00591E91" w:rsidTr="00591E91">
        <w:trPr>
          <w:trHeight w:val="285"/>
        </w:trPr>
        <w:tc>
          <w:tcPr>
            <w:tcW w:w="1136" w:type="dxa"/>
            <w:shd w:val="clear" w:color="auto" w:fill="auto"/>
            <w:noWrap/>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NO</w:t>
            </w:r>
          </w:p>
        </w:tc>
        <w:tc>
          <w:tcPr>
            <w:tcW w:w="1973" w:type="dxa"/>
            <w:shd w:val="clear" w:color="auto" w:fill="auto"/>
            <w:noWrap/>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软件名称</w:t>
            </w:r>
          </w:p>
        </w:tc>
        <w:tc>
          <w:tcPr>
            <w:tcW w:w="5528" w:type="dxa"/>
            <w:shd w:val="clear" w:color="auto" w:fill="auto"/>
            <w:noWrap/>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功能模块</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w:t>
            </w:r>
            <w:r w:rsidRPr="00591E91">
              <w:rPr>
                <w:rFonts w:ascii="Times New Roman" w:eastAsia="仿宋" w:hAnsi="Times New Roman" w:cs="Times New Roman"/>
                <w:color w:val="000000"/>
                <w:kern w:val="0"/>
                <w:sz w:val="14"/>
                <w:szCs w:val="14"/>
              </w:rPr>
              <w:t xml:space="preserve">    </w:t>
            </w:r>
            <w:r w:rsidRPr="00591E91">
              <w:rPr>
                <w:rFonts w:ascii="Calibri" w:eastAsia="仿宋" w:hAnsi="Calibri" w:cs="Calibri"/>
                <w:color w:val="000000"/>
                <w:kern w:val="0"/>
                <w:sz w:val="20"/>
                <w:szCs w:val="20"/>
              </w:rPr>
              <w:t> </w:t>
            </w:r>
          </w:p>
        </w:tc>
        <w:tc>
          <w:tcPr>
            <w:tcW w:w="1973" w:type="dxa"/>
            <w:vMerge w:val="restart"/>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康复管理平台</w:t>
            </w: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门诊医生工作站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2</w:t>
            </w:r>
            <w:r w:rsidRPr="00591E91">
              <w:rPr>
                <w:rFonts w:ascii="Times New Roman" w:eastAsia="仿宋" w:hAnsi="Times New Roman" w:cs="Times New Roman"/>
                <w:color w:val="000000"/>
                <w:kern w:val="0"/>
                <w:sz w:val="14"/>
                <w:szCs w:val="14"/>
              </w:rPr>
              <w:t xml:space="preserve">    </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住院医生工作站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3</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评价会工作站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4</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康复评定工作站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5</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治疗工作站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6</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康复电子文书系统</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7</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排班工作站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8</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移动工作站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9</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决策支持工作站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10</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患者查询工作站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11</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家庭康复工作站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12</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康复随访系统</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13</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查询统计工作站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14</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科研工作站</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15</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专家知识库</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16</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病例检索</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17</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病历夹管理系统</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18</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康复看板系统</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19</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康复OA系统</w:t>
            </w:r>
          </w:p>
        </w:tc>
      </w:tr>
      <w:tr w:rsidR="00591E91" w:rsidRPr="00591E91" w:rsidTr="00591E91">
        <w:trPr>
          <w:trHeight w:val="285"/>
        </w:trPr>
        <w:tc>
          <w:tcPr>
            <w:tcW w:w="1136" w:type="dxa"/>
            <w:shd w:val="clear" w:color="auto" w:fill="auto"/>
            <w:vAlign w:val="center"/>
            <w:hideMark/>
          </w:tcPr>
          <w:p w:rsidR="00591E91" w:rsidRPr="00591E91" w:rsidRDefault="00591E91" w:rsidP="00591E91">
            <w:pPr>
              <w:widowControl/>
              <w:jc w:val="center"/>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20</w:t>
            </w:r>
            <w:r w:rsidRPr="00591E91">
              <w:rPr>
                <w:rFonts w:ascii="Calibri" w:eastAsia="仿宋" w:hAnsi="Calibri" w:cs="Calibri"/>
                <w:color w:val="000000"/>
                <w:kern w:val="0"/>
                <w:sz w:val="20"/>
                <w:szCs w:val="20"/>
              </w:rPr>
              <w:t>    </w:t>
            </w:r>
          </w:p>
        </w:tc>
        <w:tc>
          <w:tcPr>
            <w:tcW w:w="1973" w:type="dxa"/>
            <w:vMerge/>
            <w:vAlign w:val="center"/>
            <w:hideMark/>
          </w:tcPr>
          <w:p w:rsidR="00591E91" w:rsidRPr="00591E91" w:rsidRDefault="00591E91" w:rsidP="00591E91">
            <w:pPr>
              <w:widowControl/>
              <w:jc w:val="left"/>
              <w:rPr>
                <w:rFonts w:ascii="仿宋" w:eastAsia="仿宋" w:hAnsi="仿宋" w:cs="宋体"/>
                <w:color w:val="000000"/>
                <w:kern w:val="0"/>
                <w:sz w:val="20"/>
                <w:szCs w:val="20"/>
              </w:rPr>
            </w:pPr>
          </w:p>
        </w:tc>
        <w:tc>
          <w:tcPr>
            <w:tcW w:w="5528" w:type="dxa"/>
            <w:shd w:val="clear" w:color="auto" w:fill="auto"/>
            <w:vAlign w:val="center"/>
            <w:hideMark/>
          </w:tcPr>
          <w:p w:rsidR="00591E91" w:rsidRPr="00591E91" w:rsidRDefault="00591E91" w:rsidP="00591E91">
            <w:pPr>
              <w:widowControl/>
              <w:jc w:val="left"/>
              <w:rPr>
                <w:rFonts w:ascii="仿宋" w:eastAsia="仿宋" w:hAnsi="仿宋" w:cs="宋体"/>
                <w:color w:val="000000"/>
                <w:kern w:val="0"/>
                <w:sz w:val="20"/>
                <w:szCs w:val="20"/>
              </w:rPr>
            </w:pPr>
            <w:r w:rsidRPr="00591E91">
              <w:rPr>
                <w:rFonts w:ascii="仿宋" w:eastAsia="仿宋" w:hAnsi="仿宋" w:cs="宋体" w:hint="eastAsia"/>
                <w:color w:val="000000"/>
                <w:kern w:val="0"/>
                <w:sz w:val="20"/>
                <w:szCs w:val="20"/>
              </w:rPr>
              <w:t>其他功能模块</w:t>
            </w:r>
          </w:p>
        </w:tc>
      </w:tr>
    </w:tbl>
    <w:p w:rsidR="008E06DA" w:rsidRDefault="008E06DA"/>
    <w:p w:rsidR="008E06DA" w:rsidRDefault="008E06DA">
      <w:pPr>
        <w:tabs>
          <w:tab w:val="left" w:pos="2878"/>
        </w:tabs>
        <w:jc w:val="left"/>
      </w:pPr>
    </w:p>
    <w:sectPr w:rsidR="008E06DA" w:rsidSect="008E06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20D" w:rsidRDefault="0008720D" w:rsidP="007E4992">
      <w:r>
        <w:separator/>
      </w:r>
    </w:p>
  </w:endnote>
  <w:endnote w:type="continuationSeparator" w:id="1">
    <w:p w:rsidR="0008720D" w:rsidRDefault="0008720D" w:rsidP="007E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20D" w:rsidRDefault="0008720D" w:rsidP="007E4992">
      <w:r>
        <w:separator/>
      </w:r>
    </w:p>
  </w:footnote>
  <w:footnote w:type="continuationSeparator" w:id="1">
    <w:p w:rsidR="0008720D" w:rsidRDefault="0008720D" w:rsidP="007E4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0000008"/>
    <w:multiLevelType w:val="singleLevel"/>
    <w:tmpl w:val="00000008"/>
    <w:lvl w:ilvl="0">
      <w:start w:val="1"/>
      <w:numFmt w:val="decimal"/>
      <w:suff w:val="nothing"/>
      <w:lvlText w:val="%1）"/>
      <w:lvlJc w:val="left"/>
    </w:lvl>
  </w:abstractNum>
  <w:abstractNum w:abstractNumId="4">
    <w:nsid w:val="0000000A"/>
    <w:multiLevelType w:val="singleLevel"/>
    <w:tmpl w:val="0000000A"/>
    <w:lvl w:ilvl="0">
      <w:start w:val="1"/>
      <w:numFmt w:val="decimal"/>
      <w:suff w:val="nothing"/>
      <w:lvlText w:val="%1）"/>
      <w:lvlJc w:val="left"/>
    </w:lvl>
  </w:abstractNum>
  <w:abstractNum w:abstractNumId="5">
    <w:nsid w:val="0FE85E33"/>
    <w:multiLevelType w:val="multilevel"/>
    <w:tmpl w:val="0FE85E3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7930CE9"/>
    <w:multiLevelType w:val="multilevel"/>
    <w:tmpl w:val="D58045C2"/>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20660B5"/>
    <w:multiLevelType w:val="multilevel"/>
    <w:tmpl w:val="320660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61026BB"/>
    <w:multiLevelType w:val="multilevel"/>
    <w:tmpl w:val="461026BB"/>
    <w:lvl w:ilvl="0">
      <w:start w:val="1"/>
      <w:numFmt w:val="japaneseCounting"/>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197198"/>
    <w:multiLevelType w:val="singleLevel"/>
    <w:tmpl w:val="6E197198"/>
    <w:lvl w:ilvl="0">
      <w:start w:val="1"/>
      <w:numFmt w:val="decimal"/>
      <w:suff w:val="nothing"/>
      <w:lvlText w:val="%1）"/>
      <w:lvlJc w:val="left"/>
    </w:lvl>
  </w:abstractNum>
  <w:num w:numId="1">
    <w:abstractNumId w:val="1"/>
  </w:num>
  <w:num w:numId="2">
    <w:abstractNumId w:val="9"/>
  </w:num>
  <w:num w:numId="3">
    <w:abstractNumId w:val="4"/>
  </w:num>
  <w:num w:numId="4">
    <w:abstractNumId w:val="0"/>
  </w:num>
  <w:num w:numId="5">
    <w:abstractNumId w:val="2"/>
  </w:num>
  <w:num w:numId="6">
    <w:abstractNumId w:val="3"/>
  </w:num>
  <w:num w:numId="7">
    <w:abstractNumId w:val="8"/>
  </w:num>
  <w:num w:numId="8">
    <w:abstractNumId w:val="5"/>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D3042C8"/>
    <w:rsid w:val="0008720D"/>
    <w:rsid w:val="001F33E2"/>
    <w:rsid w:val="00286D94"/>
    <w:rsid w:val="002D0030"/>
    <w:rsid w:val="003740F5"/>
    <w:rsid w:val="00591E91"/>
    <w:rsid w:val="005E0026"/>
    <w:rsid w:val="00652630"/>
    <w:rsid w:val="00665D93"/>
    <w:rsid w:val="0074193F"/>
    <w:rsid w:val="007E4992"/>
    <w:rsid w:val="008D3453"/>
    <w:rsid w:val="008E06DA"/>
    <w:rsid w:val="008E7899"/>
    <w:rsid w:val="00946E8D"/>
    <w:rsid w:val="00A05AFA"/>
    <w:rsid w:val="00D34462"/>
    <w:rsid w:val="00F04F55"/>
    <w:rsid w:val="00F82330"/>
    <w:rsid w:val="00FB77EC"/>
    <w:rsid w:val="5D304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D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8E06DA"/>
    <w:pPr>
      <w:keepNext/>
      <w:keepLines/>
      <w:spacing w:before="340" w:after="330" w:line="360" w:lineRule="auto"/>
      <w:outlineLvl w:val="0"/>
    </w:pPr>
    <w:rPr>
      <w:rFonts w:ascii="宋体" w:hAnsi="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8E06DA"/>
    <w:pPr>
      <w:spacing w:line="380" w:lineRule="exact"/>
    </w:pPr>
    <w:rPr>
      <w:sz w:val="24"/>
    </w:rPr>
  </w:style>
  <w:style w:type="paragraph" w:styleId="a4">
    <w:name w:val="Normal (Web)"/>
    <w:basedOn w:val="a"/>
    <w:uiPriority w:val="99"/>
    <w:unhideWhenUsed/>
    <w:qFormat/>
    <w:rsid w:val="008E06DA"/>
    <w:pPr>
      <w:widowControl/>
      <w:spacing w:before="100" w:beforeAutospacing="1" w:after="100" w:afterAutospacing="1"/>
      <w:jc w:val="left"/>
    </w:pPr>
    <w:rPr>
      <w:rFonts w:ascii="宋体" w:eastAsia="宋体" w:hAnsi="宋体" w:cs="宋体"/>
      <w:kern w:val="0"/>
      <w:sz w:val="24"/>
    </w:rPr>
  </w:style>
  <w:style w:type="table" w:styleId="a5">
    <w:name w:val="Table Grid"/>
    <w:basedOn w:val="a1"/>
    <w:rsid w:val="008E06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06DA"/>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8E06DA"/>
    <w:pPr>
      <w:ind w:firstLineChars="200" w:firstLine="420"/>
    </w:pPr>
  </w:style>
  <w:style w:type="paragraph" w:styleId="a6">
    <w:name w:val="header"/>
    <w:basedOn w:val="a"/>
    <w:link w:val="Char"/>
    <w:rsid w:val="007E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4992"/>
    <w:rPr>
      <w:rFonts w:asciiTheme="minorHAnsi" w:eastAsiaTheme="minorEastAsia" w:hAnsiTheme="minorHAnsi" w:cstheme="minorBidi"/>
      <w:kern w:val="2"/>
      <w:sz w:val="18"/>
      <w:szCs w:val="18"/>
    </w:rPr>
  </w:style>
  <w:style w:type="paragraph" w:styleId="a7">
    <w:name w:val="footer"/>
    <w:basedOn w:val="a"/>
    <w:link w:val="Char0"/>
    <w:rsid w:val="007E4992"/>
    <w:pPr>
      <w:tabs>
        <w:tab w:val="center" w:pos="4153"/>
        <w:tab w:val="right" w:pos="8306"/>
      </w:tabs>
      <w:snapToGrid w:val="0"/>
      <w:jc w:val="left"/>
    </w:pPr>
    <w:rPr>
      <w:sz w:val="18"/>
      <w:szCs w:val="18"/>
    </w:rPr>
  </w:style>
  <w:style w:type="character" w:customStyle="1" w:styleId="Char0">
    <w:name w:val="页脚 Char"/>
    <w:basedOn w:val="a0"/>
    <w:link w:val="a7"/>
    <w:rsid w:val="007E4992"/>
    <w:rPr>
      <w:rFonts w:asciiTheme="minorHAnsi" w:eastAsiaTheme="minorEastAsia" w:hAnsiTheme="minorHAnsi" w:cstheme="minorBidi"/>
      <w:kern w:val="2"/>
      <w:sz w:val="18"/>
      <w:szCs w:val="18"/>
    </w:rPr>
  </w:style>
  <w:style w:type="paragraph" w:styleId="a8">
    <w:name w:val="Balloon Text"/>
    <w:basedOn w:val="a"/>
    <w:link w:val="Char1"/>
    <w:rsid w:val="007E4992"/>
    <w:rPr>
      <w:sz w:val="18"/>
      <w:szCs w:val="18"/>
    </w:rPr>
  </w:style>
  <w:style w:type="character" w:customStyle="1" w:styleId="Char1">
    <w:name w:val="批注框文本 Char"/>
    <w:basedOn w:val="a0"/>
    <w:link w:val="a8"/>
    <w:rsid w:val="007E4992"/>
    <w:rPr>
      <w:rFonts w:asciiTheme="minorHAnsi" w:eastAsiaTheme="minorEastAsia" w:hAnsiTheme="minorHAnsi" w:cstheme="minorBidi"/>
      <w:kern w:val="2"/>
      <w:sz w:val="18"/>
      <w:szCs w:val="18"/>
    </w:rPr>
  </w:style>
  <w:style w:type="paragraph" w:styleId="a9">
    <w:name w:val="List Paragraph"/>
    <w:basedOn w:val="a"/>
    <w:uiPriority w:val="34"/>
    <w:qFormat/>
    <w:rsid w:val="00FB77E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84908455">
      <w:bodyDiv w:val="1"/>
      <w:marLeft w:val="0"/>
      <w:marRight w:val="0"/>
      <w:marTop w:val="0"/>
      <w:marBottom w:val="0"/>
      <w:divBdr>
        <w:top w:val="none" w:sz="0" w:space="0" w:color="auto"/>
        <w:left w:val="none" w:sz="0" w:space="0" w:color="auto"/>
        <w:bottom w:val="none" w:sz="0" w:space="0" w:color="auto"/>
        <w:right w:val="none" w:sz="0" w:space="0" w:color="auto"/>
      </w:divBdr>
    </w:div>
    <w:div w:id="151402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pc-hp</cp:lastModifiedBy>
  <cp:revision>14</cp:revision>
  <dcterms:created xsi:type="dcterms:W3CDTF">2021-03-08T02:26:00Z</dcterms:created>
  <dcterms:modified xsi:type="dcterms:W3CDTF">2021-04-29T07:45:00Z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