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center"/>
        <w:textAlignment w:val="auto"/>
        <w:rPr>
          <w:b/>
          <w:bCs/>
          <w:i w:val="0"/>
          <w:iCs w:val="0"/>
          <w:color w:val="auto"/>
          <w:sz w:val="30"/>
          <w:szCs w:val="30"/>
        </w:rPr>
      </w:pPr>
      <w:r>
        <w:rPr>
          <w:b/>
          <w:bCs/>
          <w:i w:val="0"/>
          <w:iCs w:val="0"/>
          <w:caps w:val="0"/>
          <w:color w:val="auto"/>
          <w:spacing w:val="0"/>
          <w:sz w:val="30"/>
          <w:szCs w:val="30"/>
          <w:shd w:val="clear" w:fill="FFFFFF"/>
        </w:rPr>
        <w:t>苏州科技城医院关于“机械式停车设备维保服务项目”的院内谈判公告</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both"/>
        <w:rPr>
          <w:i w:val="0"/>
          <w:iCs w:val="0"/>
          <w:color w:val="auto"/>
          <w:sz w:val="21"/>
          <w:szCs w:val="21"/>
        </w:rPr>
      </w:pPr>
      <w:r>
        <w:rPr>
          <w:rFonts w:hint="eastAsia" w:ascii="宋体" w:hAnsi="宋体" w:eastAsia="宋体" w:cs="宋体"/>
          <w:i w:val="0"/>
          <w:iCs w:val="0"/>
          <w:caps w:val="0"/>
          <w:color w:val="auto"/>
          <w:spacing w:val="0"/>
          <w:sz w:val="21"/>
          <w:szCs w:val="21"/>
          <w:shd w:val="clear" w:fill="FFFFFF"/>
        </w:rPr>
        <w:t>苏州科技城医院拟对“机械式停车设备维保服务项目”进行谈判采购，欢迎符合谈判采购文件资格条件的各供应商前来报名参加谈判。</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0000FF"/>
          <w:sz w:val="21"/>
          <w:szCs w:val="21"/>
        </w:rPr>
      </w:pPr>
      <w:r>
        <w:rPr>
          <w:rFonts w:hint="eastAsia" w:ascii="宋体" w:hAnsi="宋体" w:eastAsia="宋体" w:cs="宋体"/>
          <w:i w:val="0"/>
          <w:iCs w:val="0"/>
          <w:caps w:val="0"/>
          <w:color w:val="auto"/>
          <w:spacing w:val="0"/>
          <w:sz w:val="21"/>
          <w:szCs w:val="21"/>
          <w:shd w:val="clear" w:fill="FFFFFF"/>
        </w:rPr>
        <w:t>一、采购编号：</w:t>
      </w:r>
      <w:r>
        <w:rPr>
          <w:rFonts w:hint="default" w:ascii="Times New Roman" w:hAnsi="Times New Roman" w:eastAsia="宋体" w:cs="Times New Roman"/>
          <w:i w:val="0"/>
          <w:iCs w:val="0"/>
          <w:caps w:val="0"/>
          <w:color w:val="auto"/>
          <w:spacing w:val="0"/>
          <w:sz w:val="21"/>
          <w:szCs w:val="21"/>
          <w:shd w:val="clear" w:fill="FFFFFF"/>
        </w:rPr>
        <w:t>KYWB</w:t>
      </w:r>
      <w:r>
        <w:rPr>
          <w:rFonts w:hint="eastAsia" w:ascii="Times New Roman" w:hAnsi="Times New Roman" w:cs="Times New Roman"/>
          <w:i w:val="0"/>
          <w:iCs w:val="0"/>
          <w:caps w:val="0"/>
          <w:color w:val="auto"/>
          <w:spacing w:val="0"/>
          <w:sz w:val="21"/>
          <w:szCs w:val="21"/>
          <w:shd w:val="clear" w:fill="FFFFFF"/>
          <w:lang w:val="en-US" w:eastAsia="zh-CN"/>
        </w:rPr>
        <w:t xml:space="preserve"> </w:t>
      </w:r>
      <w:r>
        <w:rPr>
          <w:rFonts w:hint="default" w:ascii="Times New Roman" w:hAnsi="Times New Roman" w:eastAsia="宋体" w:cs="Times New Roman"/>
          <w:i w:val="0"/>
          <w:iCs w:val="0"/>
          <w:caps w:val="0"/>
          <w:color w:val="auto"/>
          <w:spacing w:val="0"/>
          <w:sz w:val="21"/>
          <w:szCs w:val="21"/>
          <w:shd w:val="clear" w:fill="FFFFFF"/>
        </w:rPr>
        <w:t>202</w:t>
      </w:r>
      <w:r>
        <w:rPr>
          <w:rFonts w:hint="eastAsia" w:ascii="Times New Roman" w:hAnsi="Times New Roman" w:cs="Times New Roman"/>
          <w:i w:val="0"/>
          <w:iCs w:val="0"/>
          <w:caps w:val="0"/>
          <w:color w:val="auto"/>
          <w:spacing w:val="0"/>
          <w:sz w:val="21"/>
          <w:szCs w:val="21"/>
          <w:shd w:val="clear" w:fill="FFFFFF"/>
          <w:lang w:val="en-US" w:eastAsia="zh-CN"/>
        </w:rPr>
        <w:t>2</w:t>
      </w:r>
      <w:r>
        <w:rPr>
          <w:rFonts w:hint="default" w:ascii="Times New Roman" w:hAnsi="Times New Roman" w:eastAsia="宋体" w:cs="Times New Roman"/>
          <w:i w:val="0"/>
          <w:iCs w:val="0"/>
          <w:caps w:val="0"/>
          <w:color w:val="auto"/>
          <w:spacing w:val="0"/>
          <w:sz w:val="21"/>
          <w:szCs w:val="21"/>
          <w:shd w:val="clear" w:fill="FFFFFF"/>
        </w:rPr>
        <w:t>--0</w:t>
      </w:r>
      <w:r>
        <w:rPr>
          <w:rFonts w:hint="eastAsia" w:ascii="Times New Roman" w:hAnsi="Times New Roman" w:cs="Times New Roman"/>
          <w:i w:val="0"/>
          <w:iCs w:val="0"/>
          <w:caps w:val="0"/>
          <w:color w:val="auto"/>
          <w:spacing w:val="0"/>
          <w:sz w:val="21"/>
          <w:szCs w:val="21"/>
          <w:shd w:val="clear" w:fill="FFFFFF"/>
          <w:lang w:val="en-US" w:eastAsia="zh-CN"/>
        </w:rPr>
        <w:t>02</w:t>
      </w:r>
      <w:r>
        <w:rPr>
          <w:rFonts w:hint="eastAsia" w:ascii="宋体" w:hAnsi="宋体" w:eastAsia="宋体" w:cs="宋体"/>
          <w:i w:val="0"/>
          <w:iCs w:val="0"/>
          <w:caps w:val="0"/>
          <w:color w:val="auto"/>
          <w:spacing w:val="0"/>
          <w:sz w:val="21"/>
          <w:szCs w:val="21"/>
          <w:shd w:val="clear" w:fill="FFFFFF"/>
        </w:rPr>
        <w:t>号</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eastAsia" w:ascii="宋体" w:hAnsi="宋体" w:eastAsia="宋体" w:cs="宋体"/>
          <w:i w:val="0"/>
          <w:iCs w:val="0"/>
          <w:caps w:val="0"/>
          <w:color w:val="auto"/>
          <w:spacing w:val="0"/>
          <w:sz w:val="21"/>
          <w:szCs w:val="21"/>
          <w:shd w:val="clear" w:fill="FFFFFF"/>
        </w:rPr>
        <w:t>二、采购内容：机械式停车设备维保服务项目</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eastAsia" w:ascii="宋体" w:hAnsi="宋体" w:eastAsia="宋体" w:cs="宋体"/>
          <w:i w:val="0"/>
          <w:iCs w:val="0"/>
          <w:caps w:val="0"/>
          <w:color w:val="auto"/>
          <w:spacing w:val="0"/>
          <w:sz w:val="21"/>
          <w:szCs w:val="21"/>
          <w:shd w:val="clear" w:fill="FFFFFF"/>
        </w:rPr>
        <w:t>三、服务期限：一年</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0000FF"/>
          <w:sz w:val="21"/>
          <w:szCs w:val="21"/>
        </w:rPr>
      </w:pPr>
      <w:r>
        <w:rPr>
          <w:rFonts w:hint="eastAsia" w:ascii="宋体" w:hAnsi="宋体" w:eastAsia="宋体" w:cs="宋体"/>
          <w:i w:val="0"/>
          <w:iCs w:val="0"/>
          <w:caps w:val="0"/>
          <w:color w:val="auto"/>
          <w:spacing w:val="0"/>
          <w:sz w:val="21"/>
          <w:szCs w:val="21"/>
          <w:shd w:val="clear" w:fill="FFFFFF"/>
        </w:rPr>
        <w:t>四、采购预算：</w:t>
      </w:r>
      <w:r>
        <w:rPr>
          <w:rFonts w:hint="eastAsia" w:cs="宋体"/>
          <w:i w:val="0"/>
          <w:iCs w:val="0"/>
          <w:caps w:val="0"/>
          <w:color w:val="auto"/>
          <w:spacing w:val="0"/>
          <w:sz w:val="21"/>
          <w:szCs w:val="21"/>
          <w:shd w:val="clear" w:fill="FFFFFF"/>
          <w:lang w:val="en-US" w:eastAsia="zh-CN"/>
        </w:rPr>
        <w:t>250000</w:t>
      </w:r>
      <w:r>
        <w:rPr>
          <w:rFonts w:hint="eastAsia" w:ascii="宋体" w:hAnsi="宋体" w:eastAsia="宋体" w:cs="宋体"/>
          <w:i w:val="0"/>
          <w:iCs w:val="0"/>
          <w:caps w:val="0"/>
          <w:color w:val="auto"/>
          <w:spacing w:val="0"/>
          <w:sz w:val="21"/>
          <w:szCs w:val="21"/>
          <w:shd w:val="clear" w:fill="FFFFFF"/>
        </w:rPr>
        <w:t>元</w:t>
      </w:r>
      <w:r>
        <w:rPr>
          <w:rFonts w:hint="eastAsia" w:cs="宋体"/>
          <w:i w:val="0"/>
          <w:iCs w:val="0"/>
          <w:caps w:val="0"/>
          <w:color w:val="auto"/>
          <w:spacing w:val="0"/>
          <w:sz w:val="21"/>
          <w:szCs w:val="21"/>
          <w:shd w:val="clear" w:fill="FFFFFF"/>
          <w:lang w:eastAsia="zh-CN"/>
        </w:rPr>
        <w:t>（</w:t>
      </w:r>
      <w:r>
        <w:rPr>
          <w:rFonts w:hint="eastAsia" w:cs="宋体"/>
          <w:i w:val="0"/>
          <w:iCs w:val="0"/>
          <w:caps w:val="0"/>
          <w:color w:val="auto"/>
          <w:spacing w:val="0"/>
          <w:sz w:val="21"/>
          <w:szCs w:val="21"/>
          <w:shd w:val="clear" w:fill="FFFFFF"/>
          <w:lang w:val="en-US" w:eastAsia="zh-CN"/>
        </w:rPr>
        <w:t>700个车位）</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eastAsia" w:ascii="宋体" w:hAnsi="宋体" w:eastAsia="宋体" w:cs="宋体"/>
          <w:i w:val="0"/>
          <w:iCs w:val="0"/>
          <w:caps w:val="0"/>
          <w:color w:val="auto"/>
          <w:spacing w:val="0"/>
          <w:sz w:val="21"/>
          <w:szCs w:val="21"/>
          <w:shd w:val="clear" w:fill="FFFFFF"/>
        </w:rPr>
        <w:t>五、参加谈判的供应商资格证明文件包括：</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default" w:ascii="Times New Roman" w:hAnsi="Times New Roman" w:eastAsia="宋体" w:cs="Times New Roman"/>
          <w:i w:val="0"/>
          <w:iCs w:val="0"/>
          <w:caps w:val="0"/>
          <w:color w:val="auto"/>
          <w:spacing w:val="0"/>
          <w:sz w:val="21"/>
          <w:szCs w:val="21"/>
          <w:shd w:val="clear" w:fill="FFFFFF"/>
        </w:rPr>
        <w:t>1</w:t>
      </w:r>
      <w:r>
        <w:rPr>
          <w:rFonts w:hint="eastAsia" w:ascii="宋体" w:hAnsi="宋体" w:eastAsia="宋体" w:cs="宋体"/>
          <w:i w:val="0"/>
          <w:iCs w:val="0"/>
          <w:caps w:val="0"/>
          <w:color w:val="auto"/>
          <w:spacing w:val="0"/>
          <w:sz w:val="21"/>
          <w:szCs w:val="21"/>
          <w:shd w:val="clear" w:fill="FFFFFF"/>
        </w:rPr>
        <w:t>、营业执照副本复印件；</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default" w:ascii="Times New Roman" w:hAnsi="Times New Roman" w:eastAsia="宋体" w:cs="Times New Roman"/>
          <w:i w:val="0"/>
          <w:iCs w:val="0"/>
          <w:caps w:val="0"/>
          <w:color w:val="auto"/>
          <w:spacing w:val="0"/>
          <w:sz w:val="21"/>
          <w:szCs w:val="21"/>
          <w:shd w:val="clear" w:fill="FFFFFF"/>
        </w:rPr>
        <w:t>2</w:t>
      </w:r>
      <w:r>
        <w:rPr>
          <w:rFonts w:hint="eastAsia" w:ascii="宋体" w:hAnsi="宋体" w:eastAsia="宋体" w:cs="宋体"/>
          <w:i w:val="0"/>
          <w:iCs w:val="0"/>
          <w:caps w:val="0"/>
          <w:color w:val="auto"/>
          <w:spacing w:val="0"/>
          <w:sz w:val="21"/>
          <w:szCs w:val="21"/>
          <w:shd w:val="clear" w:fill="FFFFFF"/>
        </w:rPr>
        <w:t>、法人及法人授权代表身份证复印件；</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default" w:ascii="Times New Roman" w:hAnsi="Times New Roman" w:eastAsia="宋体" w:cs="Times New Roman"/>
          <w:i w:val="0"/>
          <w:iCs w:val="0"/>
          <w:caps w:val="0"/>
          <w:color w:val="auto"/>
          <w:spacing w:val="0"/>
          <w:sz w:val="21"/>
          <w:szCs w:val="21"/>
          <w:shd w:val="clear" w:fill="FFFFFF"/>
        </w:rPr>
        <w:t>3</w:t>
      </w:r>
      <w:r>
        <w:rPr>
          <w:rFonts w:hint="eastAsia" w:ascii="宋体" w:hAnsi="宋体" w:eastAsia="宋体" w:cs="宋体"/>
          <w:i w:val="0"/>
          <w:iCs w:val="0"/>
          <w:caps w:val="0"/>
          <w:color w:val="auto"/>
          <w:spacing w:val="0"/>
          <w:sz w:val="21"/>
          <w:szCs w:val="21"/>
          <w:shd w:val="clear" w:fill="FFFFFF"/>
        </w:rPr>
        <w:t>、法定代表人授权委托书原件；</w:t>
      </w:r>
      <w:r>
        <w:rPr>
          <w:rFonts w:hint="default" w:ascii="Times New Roman" w:hAnsi="Times New Roman" w:eastAsia="微软雅黑" w:cs="Times New Roman"/>
          <w:i w:val="0"/>
          <w:iCs w:val="0"/>
          <w:caps w:val="0"/>
          <w:color w:val="auto"/>
          <w:spacing w:val="0"/>
          <w:sz w:val="21"/>
          <w:szCs w:val="21"/>
          <w:shd w:val="clear" w:fill="FFFFFF"/>
        </w:rPr>
        <w:t> </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05"/>
        <w:rPr>
          <w:i w:val="0"/>
          <w:iCs w:val="0"/>
          <w:color w:val="auto"/>
          <w:sz w:val="21"/>
          <w:szCs w:val="21"/>
        </w:rPr>
      </w:pPr>
      <w:r>
        <w:rPr>
          <w:rFonts w:hint="eastAsia" w:ascii="宋体" w:hAnsi="宋体" w:eastAsia="宋体" w:cs="宋体"/>
          <w:i w:val="0"/>
          <w:iCs w:val="0"/>
          <w:caps w:val="0"/>
          <w:color w:val="auto"/>
          <w:spacing w:val="0"/>
          <w:sz w:val="21"/>
          <w:szCs w:val="21"/>
          <w:shd w:val="clear" w:fill="FFFFFF"/>
        </w:rPr>
        <w:t>4、具有履行合同所必需的设备和专业技术能力；</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05"/>
        <w:rPr>
          <w:i w:val="0"/>
          <w:iCs w:val="0"/>
          <w:color w:val="auto"/>
          <w:sz w:val="21"/>
          <w:szCs w:val="21"/>
        </w:rPr>
      </w:pPr>
      <w:r>
        <w:rPr>
          <w:rFonts w:hint="eastAsia" w:ascii="宋体" w:hAnsi="宋体" w:eastAsia="宋体" w:cs="宋体"/>
          <w:i w:val="0"/>
          <w:iCs w:val="0"/>
          <w:caps w:val="0"/>
          <w:color w:val="auto"/>
          <w:spacing w:val="0"/>
          <w:sz w:val="21"/>
          <w:szCs w:val="21"/>
          <w:shd w:val="clear" w:fill="FFFFFF"/>
        </w:rPr>
        <w:t>5、有依法缴纳税收和社会保障资金的良好记录；</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default" w:ascii="Times New Roman" w:hAnsi="Times New Roman" w:eastAsia="宋体" w:cs="Times New Roman"/>
          <w:i w:val="0"/>
          <w:iCs w:val="0"/>
          <w:caps w:val="0"/>
          <w:color w:val="auto"/>
          <w:spacing w:val="0"/>
          <w:sz w:val="21"/>
          <w:szCs w:val="21"/>
          <w:shd w:val="clear" w:fill="FFFFFF"/>
        </w:rPr>
        <w:t>6</w:t>
      </w:r>
      <w:r>
        <w:rPr>
          <w:rFonts w:hint="eastAsia" w:ascii="宋体" w:hAnsi="宋体" w:eastAsia="宋体" w:cs="宋体"/>
          <w:i w:val="0"/>
          <w:iCs w:val="0"/>
          <w:caps w:val="0"/>
          <w:color w:val="auto"/>
          <w:spacing w:val="0"/>
          <w:sz w:val="21"/>
          <w:szCs w:val="21"/>
          <w:shd w:val="clear" w:fill="FFFFFF"/>
        </w:rPr>
        <w:t>、参加政府采购活动前三年内，在经营活动中没有重大违法记录的承诺；</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default" w:ascii="Times New Roman" w:hAnsi="Times New Roman" w:eastAsia="宋体" w:cs="Times New Roman"/>
          <w:i w:val="0"/>
          <w:iCs w:val="0"/>
          <w:caps w:val="0"/>
          <w:color w:val="auto"/>
          <w:spacing w:val="0"/>
          <w:sz w:val="21"/>
          <w:szCs w:val="21"/>
          <w:shd w:val="clear" w:fill="FFFFFF"/>
        </w:rPr>
        <w:t>7</w:t>
      </w:r>
      <w:r>
        <w:rPr>
          <w:rFonts w:hint="eastAsia" w:ascii="宋体" w:hAnsi="宋体" w:eastAsia="宋体" w:cs="宋体"/>
          <w:i w:val="0"/>
          <w:iCs w:val="0"/>
          <w:caps w:val="0"/>
          <w:color w:val="auto"/>
          <w:spacing w:val="0"/>
          <w:sz w:val="21"/>
          <w:szCs w:val="21"/>
          <w:shd w:val="clear" w:fill="FFFFFF"/>
        </w:rPr>
        <w:t>、有参加类似项目的业绩（需提供业绩证明材料）；</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default" w:ascii="Times New Roman" w:hAnsi="Times New Roman" w:eastAsia="宋体" w:cs="Times New Roman"/>
          <w:i w:val="0"/>
          <w:iCs w:val="0"/>
          <w:caps w:val="0"/>
          <w:color w:val="auto"/>
          <w:spacing w:val="0"/>
          <w:sz w:val="21"/>
          <w:szCs w:val="21"/>
          <w:shd w:val="clear" w:fill="FFFFFF"/>
        </w:rPr>
        <w:t>8</w:t>
      </w:r>
      <w:r>
        <w:rPr>
          <w:rFonts w:hint="eastAsia" w:ascii="宋体" w:hAnsi="宋体" w:eastAsia="宋体" w:cs="宋体"/>
          <w:i w:val="0"/>
          <w:iCs w:val="0"/>
          <w:caps w:val="0"/>
          <w:color w:val="auto"/>
          <w:spacing w:val="0"/>
          <w:sz w:val="21"/>
          <w:szCs w:val="21"/>
          <w:shd w:val="clear" w:fill="FFFFFF"/>
        </w:rPr>
        <w:t>、法律、行政法规规定的其他条件；</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eastAsia" w:ascii="宋体" w:hAnsi="宋体" w:eastAsia="宋体" w:cs="宋体"/>
          <w:i w:val="0"/>
          <w:iCs w:val="0"/>
          <w:caps w:val="0"/>
          <w:color w:val="auto"/>
          <w:spacing w:val="0"/>
          <w:sz w:val="21"/>
          <w:szCs w:val="21"/>
          <w:shd w:val="clear" w:fill="FFFFFF"/>
        </w:rPr>
        <w:t>六、本项目报名及获取采购文件相关信息</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eastAsia" w:ascii="宋体" w:hAnsi="宋体" w:eastAsia="宋体" w:cs="宋体"/>
          <w:i w:val="0"/>
          <w:iCs w:val="0"/>
          <w:caps w:val="0"/>
          <w:color w:val="auto"/>
          <w:spacing w:val="0"/>
          <w:sz w:val="21"/>
          <w:szCs w:val="21"/>
          <w:shd w:val="clear" w:fill="FFFFFF"/>
        </w:rPr>
        <w:t>报名截止时间：</w:t>
      </w:r>
      <w:r>
        <w:rPr>
          <w:rFonts w:hint="default" w:ascii="Times New Roman" w:hAnsi="Times New Roman" w:eastAsia="宋体" w:cs="Times New Roman"/>
          <w:i w:val="0"/>
          <w:iCs w:val="0"/>
          <w:caps w:val="0"/>
          <w:color w:val="auto"/>
          <w:spacing w:val="0"/>
          <w:sz w:val="21"/>
          <w:szCs w:val="21"/>
          <w:shd w:val="clear" w:fill="FFFFFF"/>
        </w:rPr>
        <w:t>202</w:t>
      </w:r>
      <w:r>
        <w:rPr>
          <w:rFonts w:hint="eastAsia" w:ascii="Times New Roman" w:hAnsi="Times New Roman" w:cs="Times New Roman"/>
          <w:i w:val="0"/>
          <w:iCs w:val="0"/>
          <w:caps w:val="0"/>
          <w:color w:val="auto"/>
          <w:spacing w:val="0"/>
          <w:sz w:val="21"/>
          <w:szCs w:val="21"/>
          <w:shd w:val="clear" w:fill="FFFFFF"/>
          <w:lang w:val="en-US" w:eastAsia="zh-CN"/>
        </w:rPr>
        <w:t>2</w:t>
      </w:r>
      <w:r>
        <w:rPr>
          <w:rFonts w:hint="eastAsia" w:ascii="宋体" w:hAnsi="宋体" w:eastAsia="宋体" w:cs="宋体"/>
          <w:i w:val="0"/>
          <w:iCs w:val="0"/>
          <w:caps w:val="0"/>
          <w:color w:val="auto"/>
          <w:spacing w:val="0"/>
          <w:sz w:val="21"/>
          <w:szCs w:val="21"/>
          <w:shd w:val="clear" w:fill="FFFFFF"/>
        </w:rPr>
        <w:t>年</w:t>
      </w:r>
      <w:r>
        <w:rPr>
          <w:rFonts w:hint="eastAsia" w:ascii="Times New Roman" w:hAnsi="Times New Roman" w:cs="Times New Roman"/>
          <w:i w:val="0"/>
          <w:iCs w:val="0"/>
          <w:caps w:val="0"/>
          <w:color w:val="auto"/>
          <w:spacing w:val="0"/>
          <w:sz w:val="21"/>
          <w:szCs w:val="21"/>
          <w:shd w:val="clear" w:fill="FFFFFF"/>
          <w:lang w:val="en-US" w:eastAsia="zh-CN"/>
        </w:rPr>
        <w:t>4</w:t>
      </w:r>
      <w:r>
        <w:rPr>
          <w:rFonts w:hint="eastAsia" w:ascii="宋体" w:hAnsi="宋体" w:eastAsia="宋体" w:cs="宋体"/>
          <w:i w:val="0"/>
          <w:iCs w:val="0"/>
          <w:caps w:val="0"/>
          <w:color w:val="auto"/>
          <w:spacing w:val="0"/>
          <w:sz w:val="21"/>
          <w:szCs w:val="21"/>
          <w:shd w:val="clear" w:fill="FFFFFF"/>
        </w:rPr>
        <w:t>月</w:t>
      </w:r>
      <w:r>
        <w:rPr>
          <w:rFonts w:hint="eastAsia" w:ascii="Times New Roman" w:hAnsi="Times New Roman" w:cs="Times New Roman"/>
          <w:i w:val="0"/>
          <w:iCs w:val="0"/>
          <w:caps w:val="0"/>
          <w:color w:val="auto"/>
          <w:spacing w:val="0"/>
          <w:sz w:val="21"/>
          <w:szCs w:val="21"/>
          <w:shd w:val="clear" w:fill="FFFFFF"/>
          <w:lang w:val="en-US" w:eastAsia="zh-CN"/>
        </w:rPr>
        <w:t>1</w:t>
      </w:r>
      <w:r>
        <w:rPr>
          <w:rFonts w:hint="eastAsia" w:ascii="宋体" w:hAnsi="宋体" w:eastAsia="宋体" w:cs="宋体"/>
          <w:i w:val="0"/>
          <w:iCs w:val="0"/>
          <w:caps w:val="0"/>
          <w:color w:val="auto"/>
          <w:spacing w:val="0"/>
          <w:sz w:val="21"/>
          <w:szCs w:val="21"/>
          <w:shd w:val="clear" w:fill="FFFFFF"/>
        </w:rPr>
        <w:t>日</w:t>
      </w:r>
      <w:r>
        <w:rPr>
          <w:rFonts w:hint="default" w:ascii="Times New Roman" w:hAnsi="Times New Roman" w:eastAsia="宋体" w:cs="Times New Roman"/>
          <w:i w:val="0"/>
          <w:iCs w:val="0"/>
          <w:caps w:val="0"/>
          <w:color w:val="auto"/>
          <w:spacing w:val="0"/>
          <w:sz w:val="21"/>
          <w:szCs w:val="21"/>
          <w:shd w:val="clear" w:fill="FFFFFF"/>
        </w:rPr>
        <w:t>1</w:t>
      </w:r>
      <w:r>
        <w:rPr>
          <w:rFonts w:hint="eastAsia" w:ascii="Times New Roman" w:hAnsi="Times New Roman" w:cs="Times New Roman"/>
          <w:i w:val="0"/>
          <w:iCs w:val="0"/>
          <w:caps w:val="0"/>
          <w:color w:val="auto"/>
          <w:spacing w:val="0"/>
          <w:sz w:val="21"/>
          <w:szCs w:val="21"/>
          <w:shd w:val="clear" w:fill="FFFFFF"/>
          <w:lang w:val="en-US" w:eastAsia="zh-CN"/>
        </w:rPr>
        <w:t>7</w:t>
      </w:r>
      <w:r>
        <w:rPr>
          <w:rFonts w:hint="eastAsia" w:ascii="宋体" w:hAnsi="宋体" w:eastAsia="宋体" w:cs="宋体"/>
          <w:i w:val="0"/>
          <w:iCs w:val="0"/>
          <w:caps w:val="0"/>
          <w:color w:val="auto"/>
          <w:spacing w:val="0"/>
          <w:sz w:val="21"/>
          <w:szCs w:val="21"/>
          <w:shd w:val="clear" w:fill="FFFFFF"/>
        </w:rPr>
        <w:t>：</w:t>
      </w:r>
      <w:r>
        <w:rPr>
          <w:rFonts w:hint="default" w:ascii="Times New Roman" w:hAnsi="Times New Roman" w:eastAsia="宋体" w:cs="Times New Roman"/>
          <w:i w:val="0"/>
          <w:iCs w:val="0"/>
          <w:caps w:val="0"/>
          <w:color w:val="auto"/>
          <w:spacing w:val="0"/>
          <w:sz w:val="21"/>
          <w:szCs w:val="21"/>
          <w:shd w:val="clear" w:fill="FFFFFF"/>
        </w:rPr>
        <w:t>00</w:t>
      </w:r>
      <w:r>
        <w:rPr>
          <w:rFonts w:hint="eastAsia" w:ascii="宋体" w:hAnsi="宋体" w:eastAsia="宋体" w:cs="宋体"/>
          <w:i w:val="0"/>
          <w:iCs w:val="0"/>
          <w:caps w:val="0"/>
          <w:color w:val="auto"/>
          <w:spacing w:val="0"/>
          <w:sz w:val="21"/>
          <w:szCs w:val="21"/>
          <w:shd w:val="clear" w:fill="FFFFFF"/>
        </w:rPr>
        <w:t>，资格证明文件</w:t>
      </w:r>
      <w:r>
        <w:rPr>
          <w:rFonts w:hint="eastAsia" w:cs="宋体"/>
          <w:i w:val="0"/>
          <w:iCs w:val="0"/>
          <w:caps w:val="0"/>
          <w:color w:val="auto"/>
          <w:spacing w:val="0"/>
          <w:sz w:val="21"/>
          <w:szCs w:val="21"/>
          <w:shd w:val="clear" w:fill="FFFFFF"/>
          <w:lang w:eastAsia="zh-CN"/>
        </w:rPr>
        <w:t>需在报名截止时间前邮寄至联系人处</w:t>
      </w:r>
      <w:r>
        <w:rPr>
          <w:rFonts w:hint="eastAsia" w:ascii="宋体" w:hAnsi="宋体" w:eastAsia="宋体" w:cs="宋体"/>
          <w:i w:val="0"/>
          <w:iCs w:val="0"/>
          <w:caps w:val="0"/>
          <w:color w:val="auto"/>
          <w:spacing w:val="0"/>
          <w:sz w:val="21"/>
          <w:szCs w:val="21"/>
          <w:shd w:val="clear" w:fill="FFFFFF"/>
        </w:rPr>
        <w:t>进行审核。</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eastAsia" w:ascii="宋体" w:hAnsi="宋体" w:eastAsia="宋体" w:cs="宋体"/>
          <w:i w:val="0"/>
          <w:iCs w:val="0"/>
          <w:caps w:val="0"/>
          <w:color w:val="auto"/>
          <w:spacing w:val="0"/>
          <w:sz w:val="21"/>
          <w:szCs w:val="21"/>
          <w:shd w:val="clear" w:fill="FFFFFF"/>
        </w:rPr>
        <w:t>七、谈判时间、地点：</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default" w:ascii="Times New Roman" w:hAnsi="Times New Roman" w:eastAsia="宋体" w:cs="Times New Roman"/>
          <w:i w:val="0"/>
          <w:iCs w:val="0"/>
          <w:caps w:val="0"/>
          <w:color w:val="auto"/>
          <w:spacing w:val="0"/>
          <w:sz w:val="21"/>
          <w:szCs w:val="21"/>
          <w:shd w:val="clear" w:fill="FFFFFF"/>
        </w:rPr>
        <w:t>1</w:t>
      </w:r>
      <w:r>
        <w:rPr>
          <w:rFonts w:hint="eastAsia" w:ascii="宋体" w:hAnsi="宋体" w:eastAsia="宋体" w:cs="宋体"/>
          <w:i w:val="0"/>
          <w:iCs w:val="0"/>
          <w:caps w:val="0"/>
          <w:color w:val="auto"/>
          <w:spacing w:val="0"/>
          <w:sz w:val="21"/>
          <w:szCs w:val="21"/>
          <w:shd w:val="clear" w:fill="FFFFFF"/>
        </w:rPr>
        <w:t>、递交谈判响应文件的截止时间：另行通知</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eastAsia" w:ascii="宋体" w:hAnsi="宋体" w:eastAsia="宋体" w:cs="宋体"/>
          <w:i w:val="0"/>
          <w:iCs w:val="0"/>
          <w:caps w:val="0"/>
          <w:color w:val="auto"/>
          <w:spacing w:val="0"/>
          <w:sz w:val="21"/>
          <w:szCs w:val="21"/>
          <w:shd w:val="clear" w:fill="FFFFFF"/>
        </w:rPr>
        <w:t>2、谈判时间：另行通知</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eastAsia" w:ascii="宋体" w:hAnsi="宋体" w:eastAsia="宋体" w:cs="宋体"/>
          <w:i w:val="0"/>
          <w:iCs w:val="0"/>
          <w:caps w:val="0"/>
          <w:color w:val="auto"/>
          <w:spacing w:val="0"/>
          <w:sz w:val="21"/>
          <w:szCs w:val="21"/>
          <w:shd w:val="clear" w:fill="FFFFFF"/>
        </w:rPr>
        <w:t>3、谈判地点：另行通知</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eastAsia" w:ascii="宋体" w:hAnsi="宋体" w:eastAsia="宋体" w:cs="宋体"/>
          <w:i w:val="0"/>
          <w:iCs w:val="0"/>
          <w:caps w:val="0"/>
          <w:color w:val="auto"/>
          <w:spacing w:val="0"/>
          <w:sz w:val="21"/>
          <w:szCs w:val="21"/>
          <w:shd w:val="clear" w:fill="FFFFFF"/>
        </w:rPr>
        <w:t>八、院内谈判响应文件组成（必须按以下要求及顺序编制目录和对应页码装订成册，不按要求制作标书的院方有权取消其本次谈判资格）</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default" w:ascii="Times New Roman" w:hAnsi="Times New Roman" w:eastAsia="宋体" w:cs="Times New Roman"/>
          <w:i w:val="0"/>
          <w:iCs w:val="0"/>
          <w:caps w:val="0"/>
          <w:color w:val="auto"/>
          <w:spacing w:val="0"/>
          <w:sz w:val="21"/>
          <w:szCs w:val="21"/>
          <w:shd w:val="clear" w:fill="FFFFFF"/>
        </w:rPr>
        <w:t>1</w:t>
      </w:r>
      <w:r>
        <w:rPr>
          <w:rFonts w:hint="eastAsia" w:ascii="Times New Roman" w:hAnsi="Times New Roman" w:cs="Times New Roman"/>
          <w:i w:val="0"/>
          <w:iCs w:val="0"/>
          <w:caps w:val="0"/>
          <w:color w:val="auto"/>
          <w:spacing w:val="0"/>
          <w:sz w:val="21"/>
          <w:szCs w:val="21"/>
          <w:shd w:val="clear" w:fill="FFFFFF"/>
          <w:lang w:eastAsia="zh-CN"/>
        </w:rPr>
        <w:t>、</w:t>
      </w:r>
      <w:r>
        <w:rPr>
          <w:rFonts w:hint="eastAsia" w:ascii="宋体" w:hAnsi="宋体" w:eastAsia="宋体" w:cs="宋体"/>
          <w:i w:val="0"/>
          <w:iCs w:val="0"/>
          <w:caps w:val="0"/>
          <w:color w:val="auto"/>
          <w:spacing w:val="0"/>
          <w:sz w:val="21"/>
          <w:szCs w:val="21"/>
          <w:shd w:val="clear" w:fill="FFFFFF"/>
        </w:rPr>
        <w:t>投标人资格证明文件（详见谈判文件第五项）</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35"/>
        <w:rPr>
          <w:i w:val="0"/>
          <w:iCs w:val="0"/>
          <w:color w:val="auto"/>
          <w:sz w:val="21"/>
          <w:szCs w:val="21"/>
        </w:rPr>
      </w:pPr>
      <w:r>
        <w:rPr>
          <w:rFonts w:hint="default" w:ascii="Times New Roman" w:hAnsi="Times New Roman" w:eastAsia="宋体" w:cs="Times New Roman"/>
          <w:i w:val="0"/>
          <w:iCs w:val="0"/>
          <w:caps w:val="0"/>
          <w:color w:val="auto"/>
          <w:spacing w:val="0"/>
          <w:sz w:val="21"/>
          <w:szCs w:val="21"/>
          <w:shd w:val="clear" w:fill="FFFFFF"/>
        </w:rPr>
        <w:t>2</w:t>
      </w:r>
      <w:r>
        <w:rPr>
          <w:rFonts w:hint="eastAsia" w:ascii="宋体" w:hAnsi="宋体" w:eastAsia="宋体" w:cs="宋体"/>
          <w:i w:val="0"/>
          <w:iCs w:val="0"/>
          <w:caps w:val="0"/>
          <w:color w:val="auto"/>
          <w:spacing w:val="0"/>
          <w:sz w:val="21"/>
          <w:szCs w:val="21"/>
          <w:shd w:val="clear" w:fill="FFFFFF"/>
        </w:rPr>
        <w:t>、详细维保方案说明；</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35"/>
        <w:rPr>
          <w:i w:val="0"/>
          <w:iCs w:val="0"/>
          <w:color w:val="auto"/>
          <w:sz w:val="21"/>
          <w:szCs w:val="21"/>
        </w:rPr>
      </w:pPr>
      <w:r>
        <w:rPr>
          <w:rFonts w:hint="default" w:ascii="Times New Roman" w:hAnsi="Times New Roman" w:eastAsia="宋体" w:cs="Times New Roman"/>
          <w:i w:val="0"/>
          <w:iCs w:val="0"/>
          <w:caps w:val="0"/>
          <w:color w:val="auto"/>
          <w:spacing w:val="0"/>
          <w:sz w:val="21"/>
          <w:szCs w:val="21"/>
          <w:shd w:val="clear" w:fill="FFFFFF"/>
        </w:rPr>
        <w:t>3</w:t>
      </w:r>
      <w:r>
        <w:rPr>
          <w:rFonts w:hint="eastAsia" w:ascii="宋体" w:hAnsi="宋体" w:eastAsia="宋体" w:cs="宋体"/>
          <w:i w:val="0"/>
          <w:iCs w:val="0"/>
          <w:caps w:val="0"/>
          <w:color w:val="auto"/>
          <w:spacing w:val="0"/>
          <w:sz w:val="21"/>
          <w:szCs w:val="21"/>
          <w:shd w:val="clear" w:fill="FFFFFF"/>
        </w:rPr>
        <w:t>、维保人员安排计划、岗位分配情况；</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35"/>
        <w:rPr>
          <w:i w:val="0"/>
          <w:iCs w:val="0"/>
          <w:color w:val="auto"/>
          <w:sz w:val="21"/>
          <w:szCs w:val="21"/>
        </w:rPr>
      </w:pPr>
      <w:r>
        <w:rPr>
          <w:rFonts w:hint="default" w:ascii="Times New Roman" w:hAnsi="Times New Roman" w:eastAsia="宋体" w:cs="Times New Roman"/>
          <w:i w:val="0"/>
          <w:iCs w:val="0"/>
          <w:caps w:val="0"/>
          <w:color w:val="auto"/>
          <w:spacing w:val="0"/>
          <w:sz w:val="21"/>
          <w:szCs w:val="21"/>
          <w:shd w:val="clear" w:fill="FFFFFF"/>
        </w:rPr>
        <w:t>4</w:t>
      </w:r>
      <w:r>
        <w:rPr>
          <w:rFonts w:hint="eastAsia" w:ascii="宋体" w:hAnsi="宋体" w:eastAsia="宋体" w:cs="宋体"/>
          <w:i w:val="0"/>
          <w:iCs w:val="0"/>
          <w:caps w:val="0"/>
          <w:color w:val="auto"/>
          <w:spacing w:val="0"/>
          <w:sz w:val="21"/>
          <w:szCs w:val="21"/>
          <w:shd w:val="clear" w:fill="FFFFFF"/>
        </w:rPr>
        <w:t>、现场维保技术人员名单、资格证书及简介；</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35"/>
        <w:rPr>
          <w:i w:val="0"/>
          <w:iCs w:val="0"/>
          <w:color w:val="auto"/>
          <w:sz w:val="21"/>
          <w:szCs w:val="21"/>
        </w:rPr>
      </w:pPr>
      <w:r>
        <w:rPr>
          <w:rFonts w:hint="default" w:ascii="Times New Roman" w:hAnsi="Times New Roman" w:eastAsia="宋体" w:cs="Times New Roman"/>
          <w:i w:val="0"/>
          <w:iCs w:val="0"/>
          <w:caps w:val="0"/>
          <w:color w:val="auto"/>
          <w:spacing w:val="0"/>
          <w:sz w:val="21"/>
          <w:szCs w:val="21"/>
          <w:shd w:val="clear" w:fill="FFFFFF"/>
        </w:rPr>
        <w:t>5</w:t>
      </w:r>
      <w:r>
        <w:rPr>
          <w:rFonts w:hint="eastAsia" w:ascii="宋体" w:hAnsi="宋体" w:eastAsia="宋体" w:cs="宋体"/>
          <w:i w:val="0"/>
          <w:iCs w:val="0"/>
          <w:caps w:val="0"/>
          <w:color w:val="auto"/>
          <w:spacing w:val="0"/>
          <w:sz w:val="21"/>
          <w:szCs w:val="21"/>
          <w:shd w:val="clear" w:fill="FFFFFF"/>
        </w:rPr>
        <w:t>、本地固定服务场所及维保人员证明材料；</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35"/>
        <w:rPr>
          <w:i w:val="0"/>
          <w:iCs w:val="0"/>
          <w:color w:val="auto"/>
          <w:sz w:val="21"/>
          <w:szCs w:val="21"/>
        </w:rPr>
      </w:pPr>
      <w:r>
        <w:rPr>
          <w:rFonts w:hint="default" w:ascii="Times New Roman" w:hAnsi="Times New Roman" w:eastAsia="宋体" w:cs="Times New Roman"/>
          <w:i w:val="0"/>
          <w:iCs w:val="0"/>
          <w:caps w:val="0"/>
          <w:color w:val="auto"/>
          <w:spacing w:val="0"/>
          <w:sz w:val="21"/>
          <w:szCs w:val="21"/>
          <w:shd w:val="clear" w:fill="FFFFFF"/>
        </w:rPr>
        <w:t>6</w:t>
      </w:r>
      <w:r>
        <w:rPr>
          <w:rFonts w:hint="eastAsia" w:ascii="宋体" w:hAnsi="宋体" w:eastAsia="宋体" w:cs="宋体"/>
          <w:i w:val="0"/>
          <w:iCs w:val="0"/>
          <w:caps w:val="0"/>
          <w:color w:val="auto"/>
          <w:spacing w:val="0"/>
          <w:sz w:val="21"/>
          <w:szCs w:val="21"/>
          <w:shd w:val="clear" w:fill="FFFFFF"/>
        </w:rPr>
        <w:t>、维保保障承诺书；</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35"/>
        <w:rPr>
          <w:i w:val="0"/>
          <w:iCs w:val="0"/>
          <w:color w:val="auto"/>
          <w:sz w:val="21"/>
          <w:szCs w:val="21"/>
        </w:rPr>
      </w:pPr>
      <w:r>
        <w:rPr>
          <w:rFonts w:hint="default" w:ascii="Times New Roman" w:hAnsi="Times New Roman" w:eastAsia="宋体" w:cs="Times New Roman"/>
          <w:i w:val="0"/>
          <w:iCs w:val="0"/>
          <w:caps w:val="0"/>
          <w:color w:val="auto"/>
          <w:spacing w:val="0"/>
          <w:sz w:val="21"/>
          <w:szCs w:val="21"/>
          <w:shd w:val="clear" w:fill="FFFFFF"/>
        </w:rPr>
        <w:t>7</w:t>
      </w:r>
      <w:r>
        <w:rPr>
          <w:rFonts w:hint="eastAsia" w:ascii="宋体" w:hAnsi="宋体" w:eastAsia="宋体" w:cs="宋体"/>
          <w:i w:val="0"/>
          <w:iCs w:val="0"/>
          <w:caps w:val="0"/>
          <w:color w:val="auto"/>
          <w:spacing w:val="0"/>
          <w:sz w:val="21"/>
          <w:szCs w:val="21"/>
          <w:shd w:val="clear" w:fill="FFFFFF"/>
        </w:rPr>
        <w:t>、与本次采购有关的其他资料；</w:t>
      </w:r>
      <w:bookmarkStart w:id="45" w:name="_GoBack"/>
      <w:bookmarkEnd w:id="45"/>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eastAsia" w:ascii="宋体" w:hAnsi="宋体" w:eastAsia="宋体" w:cs="宋体"/>
          <w:i w:val="0"/>
          <w:iCs w:val="0"/>
          <w:caps w:val="0"/>
          <w:color w:val="auto"/>
          <w:spacing w:val="0"/>
          <w:sz w:val="21"/>
          <w:szCs w:val="21"/>
          <w:shd w:val="clear" w:fill="FFFFFF"/>
        </w:rPr>
        <w:t>九、报价要求（报价表见附件）：</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default" w:ascii="Times New Roman" w:hAnsi="Times New Roman" w:eastAsia="宋体" w:cs="Times New Roman"/>
          <w:i w:val="0"/>
          <w:iCs w:val="0"/>
          <w:caps w:val="0"/>
          <w:color w:val="auto"/>
          <w:spacing w:val="0"/>
          <w:sz w:val="21"/>
          <w:szCs w:val="21"/>
          <w:shd w:val="clear" w:fill="FFFFFF"/>
        </w:rPr>
        <w:t>1</w:t>
      </w:r>
      <w:r>
        <w:rPr>
          <w:rFonts w:hint="eastAsia" w:ascii="Times New Roman" w:hAnsi="Times New Roman" w:cs="Times New Roman"/>
          <w:i w:val="0"/>
          <w:iCs w:val="0"/>
          <w:caps w:val="0"/>
          <w:color w:val="auto"/>
          <w:spacing w:val="0"/>
          <w:sz w:val="21"/>
          <w:szCs w:val="21"/>
          <w:shd w:val="clear" w:fill="FFFFFF"/>
          <w:lang w:eastAsia="zh-CN"/>
        </w:rPr>
        <w:t>、</w:t>
      </w:r>
      <w:r>
        <w:rPr>
          <w:rFonts w:hint="eastAsia" w:ascii="宋体" w:hAnsi="宋体" w:eastAsia="宋体" w:cs="宋体"/>
          <w:i w:val="0"/>
          <w:iCs w:val="0"/>
          <w:caps w:val="0"/>
          <w:color w:val="auto"/>
          <w:spacing w:val="0"/>
          <w:sz w:val="21"/>
          <w:szCs w:val="21"/>
          <w:shd w:val="clear" w:fill="FFFFFF"/>
        </w:rPr>
        <w:t>本次谈判采用二次报价定最终成交价格。</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default" w:ascii="Times New Roman" w:hAnsi="Times New Roman" w:eastAsia="宋体" w:cs="Times New Roman"/>
          <w:i w:val="0"/>
          <w:iCs w:val="0"/>
          <w:caps w:val="0"/>
          <w:color w:val="auto"/>
          <w:spacing w:val="0"/>
          <w:sz w:val="21"/>
          <w:szCs w:val="21"/>
          <w:shd w:val="clear" w:fill="FFFFFF"/>
        </w:rPr>
        <w:t>2</w:t>
      </w:r>
      <w:r>
        <w:rPr>
          <w:rFonts w:hint="eastAsia" w:ascii="Times New Roman" w:hAnsi="Times New Roman" w:cs="Times New Roman"/>
          <w:i w:val="0"/>
          <w:iCs w:val="0"/>
          <w:caps w:val="0"/>
          <w:color w:val="auto"/>
          <w:spacing w:val="0"/>
          <w:sz w:val="21"/>
          <w:szCs w:val="21"/>
          <w:shd w:val="clear" w:fill="FFFFFF"/>
          <w:lang w:eastAsia="zh-CN"/>
        </w:rPr>
        <w:t>、</w:t>
      </w:r>
      <w:r>
        <w:rPr>
          <w:rFonts w:hint="eastAsia" w:ascii="宋体" w:hAnsi="宋体" w:eastAsia="宋体" w:cs="宋体"/>
          <w:i w:val="0"/>
          <w:iCs w:val="0"/>
          <w:caps w:val="0"/>
          <w:color w:val="auto"/>
          <w:spacing w:val="0"/>
          <w:sz w:val="21"/>
          <w:szCs w:val="21"/>
          <w:shd w:val="clear" w:fill="FFFFFF"/>
        </w:rPr>
        <w:t>写明整体打包优惠价或优惠方案。</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eastAsia" w:cs="宋体"/>
          <w:i w:val="0"/>
          <w:iCs w:val="0"/>
          <w:caps w:val="0"/>
          <w:color w:val="auto"/>
          <w:spacing w:val="0"/>
          <w:sz w:val="21"/>
          <w:szCs w:val="21"/>
          <w:shd w:val="clear" w:fill="FFFFFF"/>
          <w:lang w:val="en-US" w:eastAsia="zh-CN"/>
        </w:rPr>
        <w:t>3、</w:t>
      </w:r>
      <w:r>
        <w:rPr>
          <w:rFonts w:hint="eastAsia" w:ascii="宋体" w:hAnsi="宋体" w:eastAsia="宋体" w:cs="宋体"/>
          <w:i w:val="0"/>
          <w:iCs w:val="0"/>
          <w:caps w:val="0"/>
          <w:color w:val="auto"/>
          <w:spacing w:val="0"/>
          <w:sz w:val="21"/>
          <w:szCs w:val="21"/>
          <w:shd w:val="clear" w:fill="FFFFFF"/>
        </w:rPr>
        <w:t>报价单密封在信封里，会前交给工作人员。</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eastAsia" w:ascii="宋体" w:hAnsi="宋体" w:eastAsia="宋体" w:cs="宋体"/>
          <w:i w:val="0"/>
          <w:iCs w:val="0"/>
          <w:caps w:val="0"/>
          <w:color w:val="auto"/>
          <w:spacing w:val="0"/>
          <w:sz w:val="21"/>
          <w:szCs w:val="21"/>
          <w:shd w:val="clear" w:fill="FFFFFF"/>
        </w:rPr>
        <w:t>十、联系单位：</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eastAsia" w:ascii="宋体" w:hAnsi="宋体" w:eastAsia="宋体" w:cs="宋体"/>
          <w:i w:val="0"/>
          <w:iCs w:val="0"/>
          <w:caps w:val="0"/>
          <w:color w:val="auto"/>
          <w:spacing w:val="0"/>
          <w:sz w:val="21"/>
          <w:szCs w:val="21"/>
          <w:shd w:val="clear" w:fill="FFFFFF"/>
        </w:rPr>
        <w:t>采购人：苏州科技城医院</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eastAsia" w:ascii="宋体" w:hAnsi="宋体" w:eastAsia="宋体" w:cs="宋体"/>
          <w:i w:val="0"/>
          <w:iCs w:val="0"/>
          <w:caps w:val="0"/>
          <w:color w:val="auto"/>
          <w:spacing w:val="0"/>
          <w:sz w:val="21"/>
          <w:szCs w:val="21"/>
          <w:shd w:val="clear" w:fill="FFFFFF"/>
        </w:rPr>
        <w:t>地</w:t>
      </w:r>
      <w:r>
        <w:rPr>
          <w:rFonts w:hint="default" w:ascii="Times New Roman" w:hAnsi="Times New Roman" w:eastAsia="微软雅黑" w:cs="Times New Roman"/>
          <w:i w:val="0"/>
          <w:iCs w:val="0"/>
          <w:caps w:val="0"/>
          <w:color w:val="auto"/>
          <w:spacing w:val="0"/>
          <w:sz w:val="21"/>
          <w:szCs w:val="21"/>
          <w:shd w:val="clear" w:fill="FFFFFF"/>
        </w:rPr>
        <w:t> </w:t>
      </w:r>
      <w:r>
        <w:rPr>
          <w:rFonts w:hint="eastAsia" w:ascii="宋体" w:hAnsi="宋体" w:eastAsia="宋体" w:cs="宋体"/>
          <w:i w:val="0"/>
          <w:iCs w:val="0"/>
          <w:caps w:val="0"/>
          <w:color w:val="auto"/>
          <w:spacing w:val="0"/>
          <w:sz w:val="21"/>
          <w:szCs w:val="21"/>
          <w:shd w:val="clear" w:fill="FFFFFF"/>
        </w:rPr>
        <w:t> 址：苏州高新区漓江路</w:t>
      </w:r>
      <w:r>
        <w:rPr>
          <w:rFonts w:hint="default" w:ascii="Times New Roman" w:hAnsi="Times New Roman" w:eastAsia="宋体" w:cs="Times New Roman"/>
          <w:i w:val="0"/>
          <w:iCs w:val="0"/>
          <w:caps w:val="0"/>
          <w:color w:val="auto"/>
          <w:spacing w:val="0"/>
          <w:sz w:val="21"/>
          <w:szCs w:val="21"/>
          <w:shd w:val="clear" w:fill="FFFFFF"/>
        </w:rPr>
        <w:t>1</w:t>
      </w:r>
      <w:r>
        <w:rPr>
          <w:rFonts w:hint="eastAsia" w:ascii="宋体" w:hAnsi="宋体" w:eastAsia="宋体" w:cs="宋体"/>
          <w:i w:val="0"/>
          <w:iCs w:val="0"/>
          <w:caps w:val="0"/>
          <w:color w:val="auto"/>
          <w:spacing w:val="0"/>
          <w:sz w:val="21"/>
          <w:szCs w:val="21"/>
          <w:shd w:val="clear" w:fill="FFFFFF"/>
        </w:rPr>
        <w:t>号</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20"/>
        <w:rPr>
          <w:rFonts w:hint="eastAsia" w:cs="宋体"/>
          <w:i w:val="0"/>
          <w:iCs w:val="0"/>
          <w:caps w:val="0"/>
          <w:color w:val="auto"/>
          <w:spacing w:val="0"/>
          <w:sz w:val="21"/>
          <w:szCs w:val="21"/>
          <w:shd w:val="clear" w:fill="FFFFFF"/>
          <w:lang w:eastAsia="zh-CN"/>
        </w:rPr>
      </w:pPr>
      <w:r>
        <w:rPr>
          <w:rFonts w:hint="eastAsia" w:ascii="宋体" w:hAnsi="宋体" w:eastAsia="宋体" w:cs="宋体"/>
          <w:i w:val="0"/>
          <w:iCs w:val="0"/>
          <w:caps w:val="0"/>
          <w:color w:val="auto"/>
          <w:spacing w:val="0"/>
          <w:sz w:val="21"/>
          <w:szCs w:val="21"/>
          <w:shd w:val="clear" w:fill="FFFFFF"/>
        </w:rPr>
        <w:t>联系人：</w:t>
      </w:r>
      <w:r>
        <w:rPr>
          <w:rFonts w:hint="eastAsia" w:cs="宋体"/>
          <w:i w:val="0"/>
          <w:iCs w:val="0"/>
          <w:caps w:val="0"/>
          <w:color w:val="auto"/>
          <w:spacing w:val="0"/>
          <w:sz w:val="21"/>
          <w:szCs w:val="21"/>
          <w:shd w:val="clear" w:fill="FFFFFF"/>
          <w:lang w:eastAsia="zh-CN"/>
        </w:rPr>
        <w:t>包老师</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20"/>
        <w:rPr>
          <w:i w:val="0"/>
          <w:iCs w:val="0"/>
          <w:color w:val="auto"/>
          <w:sz w:val="21"/>
          <w:szCs w:val="21"/>
        </w:rPr>
      </w:pPr>
      <w:r>
        <w:rPr>
          <w:rFonts w:hint="eastAsia" w:ascii="宋体" w:hAnsi="宋体" w:eastAsia="宋体" w:cs="宋体"/>
          <w:i w:val="0"/>
          <w:iCs w:val="0"/>
          <w:caps w:val="0"/>
          <w:color w:val="auto"/>
          <w:spacing w:val="0"/>
          <w:sz w:val="21"/>
          <w:szCs w:val="21"/>
          <w:shd w:val="clear" w:fill="FFFFFF"/>
        </w:rPr>
        <w:t>联系电话：</w:t>
      </w:r>
      <w:r>
        <w:rPr>
          <w:rFonts w:hint="default" w:ascii="Times New Roman" w:hAnsi="Times New Roman" w:eastAsia="宋体" w:cs="Times New Roman"/>
          <w:i w:val="0"/>
          <w:iCs w:val="0"/>
          <w:caps w:val="0"/>
          <w:color w:val="auto"/>
          <w:spacing w:val="0"/>
          <w:sz w:val="21"/>
          <w:szCs w:val="21"/>
          <w:shd w:val="clear" w:fill="FFFFFF"/>
        </w:rPr>
        <w:t>0512-69584901</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rPr>
          <w:i w:val="0"/>
          <w:iCs w:val="0"/>
          <w:color w:val="auto"/>
          <w:sz w:val="21"/>
          <w:szCs w:val="21"/>
        </w:rPr>
      </w:pPr>
      <w:r>
        <w:rPr>
          <w:rFonts w:hint="eastAsia" w:ascii="宋体" w:hAnsi="宋体" w:eastAsia="宋体" w:cs="宋体"/>
          <w:i w:val="0"/>
          <w:iCs w:val="0"/>
          <w:caps w:val="0"/>
          <w:color w:val="auto"/>
          <w:spacing w:val="0"/>
          <w:sz w:val="21"/>
          <w:szCs w:val="21"/>
          <w:shd w:val="clear" w:fill="FFFFFF"/>
        </w:rPr>
        <w:t>十一、请贵单位领取本次谈判采购文件后，认真阅读各项内容，进行必要的谈判准备，并按文件的要求编制谈判响应文件（谈判文件一式</w:t>
      </w:r>
      <w:r>
        <w:rPr>
          <w:rFonts w:hint="default" w:ascii="Times New Roman" w:hAnsi="Times New Roman" w:eastAsia="宋体" w:cs="Times New Roman"/>
          <w:i w:val="0"/>
          <w:iCs w:val="0"/>
          <w:caps w:val="0"/>
          <w:color w:val="auto"/>
          <w:spacing w:val="0"/>
          <w:sz w:val="21"/>
          <w:szCs w:val="21"/>
          <w:shd w:val="clear" w:fill="FFFFFF"/>
        </w:rPr>
        <w:t>10</w:t>
      </w:r>
      <w:r>
        <w:rPr>
          <w:rFonts w:hint="eastAsia" w:ascii="宋体" w:hAnsi="宋体" w:eastAsia="宋体" w:cs="宋体"/>
          <w:i w:val="0"/>
          <w:iCs w:val="0"/>
          <w:caps w:val="0"/>
          <w:color w:val="auto"/>
          <w:spacing w:val="0"/>
          <w:sz w:val="21"/>
          <w:szCs w:val="21"/>
          <w:shd w:val="clear" w:fill="FFFFFF"/>
        </w:rPr>
        <w:t>份，其中正本</w:t>
      </w:r>
      <w:r>
        <w:rPr>
          <w:rFonts w:hint="default" w:ascii="Times New Roman" w:hAnsi="Times New Roman" w:eastAsia="宋体" w:cs="Times New Roman"/>
          <w:i w:val="0"/>
          <w:iCs w:val="0"/>
          <w:caps w:val="0"/>
          <w:color w:val="auto"/>
          <w:spacing w:val="0"/>
          <w:sz w:val="21"/>
          <w:szCs w:val="21"/>
          <w:shd w:val="clear" w:fill="FFFFFF"/>
        </w:rPr>
        <w:t>1</w:t>
      </w:r>
      <w:r>
        <w:rPr>
          <w:rFonts w:hint="eastAsia" w:ascii="宋体" w:hAnsi="宋体" w:eastAsia="宋体" w:cs="宋体"/>
          <w:i w:val="0"/>
          <w:iCs w:val="0"/>
          <w:caps w:val="0"/>
          <w:color w:val="auto"/>
          <w:spacing w:val="0"/>
          <w:sz w:val="21"/>
          <w:szCs w:val="21"/>
          <w:shd w:val="clear" w:fill="FFFFFF"/>
        </w:rPr>
        <w:t>份，副本</w:t>
      </w:r>
      <w:r>
        <w:rPr>
          <w:rFonts w:hint="default" w:ascii="Times New Roman" w:hAnsi="Times New Roman" w:eastAsia="宋体" w:cs="Times New Roman"/>
          <w:i w:val="0"/>
          <w:iCs w:val="0"/>
          <w:caps w:val="0"/>
          <w:color w:val="auto"/>
          <w:spacing w:val="0"/>
          <w:sz w:val="21"/>
          <w:szCs w:val="21"/>
          <w:shd w:val="clear" w:fill="FFFFFF"/>
        </w:rPr>
        <w:t>9</w:t>
      </w:r>
      <w:r>
        <w:rPr>
          <w:rFonts w:hint="eastAsia" w:ascii="宋体" w:hAnsi="宋体" w:eastAsia="宋体" w:cs="宋体"/>
          <w:i w:val="0"/>
          <w:iCs w:val="0"/>
          <w:caps w:val="0"/>
          <w:color w:val="auto"/>
          <w:spacing w:val="0"/>
          <w:sz w:val="21"/>
          <w:szCs w:val="21"/>
          <w:shd w:val="clear" w:fill="FFFFFF"/>
        </w:rPr>
        <w:t>份），并按上述确定的时间、地点准时参加谈判。</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316" w:firstLine="3990"/>
        <w:jc w:val="right"/>
        <w:rPr>
          <w:i w:val="0"/>
          <w:iCs w:val="0"/>
          <w:color w:val="auto"/>
          <w:sz w:val="21"/>
          <w:szCs w:val="21"/>
        </w:rPr>
      </w:pPr>
      <w:r>
        <w:rPr>
          <w:rFonts w:hint="default" w:ascii="Times New Roman" w:hAnsi="Times New Roman" w:eastAsia="微软雅黑" w:cs="Times New Roman"/>
          <w:i w:val="0"/>
          <w:iCs w:val="0"/>
          <w:caps w:val="0"/>
          <w:color w:val="auto"/>
          <w:spacing w:val="0"/>
          <w:sz w:val="21"/>
          <w:szCs w:val="21"/>
          <w:shd w:val="clear" w:fill="FFFFFF"/>
        </w:rPr>
        <w:t> </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20"/>
        <w:jc w:val="right"/>
        <w:rPr>
          <w:i w:val="0"/>
          <w:iCs w:val="0"/>
          <w:color w:val="auto"/>
          <w:sz w:val="21"/>
          <w:szCs w:val="21"/>
        </w:rPr>
      </w:pPr>
      <w:r>
        <w:rPr>
          <w:rFonts w:hint="default" w:ascii="Times New Roman" w:hAnsi="Times New Roman" w:eastAsia="微软雅黑" w:cs="Times New Roman"/>
          <w:i w:val="0"/>
          <w:iCs w:val="0"/>
          <w:caps w:val="0"/>
          <w:color w:val="auto"/>
          <w:spacing w:val="0"/>
          <w:sz w:val="28"/>
          <w:szCs w:val="28"/>
          <w:shd w:val="clear" w:fill="FFFFFF"/>
        </w:rPr>
        <w:t> </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jc w:val="right"/>
        <w:rPr>
          <w:i w:val="0"/>
          <w:iCs w:val="0"/>
          <w:color w:val="auto"/>
          <w:sz w:val="21"/>
          <w:szCs w:val="21"/>
        </w:rPr>
      </w:pPr>
      <w:r>
        <w:rPr>
          <w:rFonts w:hint="eastAsia" w:ascii="宋体" w:hAnsi="宋体" w:eastAsia="宋体" w:cs="宋体"/>
          <w:i w:val="0"/>
          <w:iCs w:val="0"/>
          <w:caps w:val="0"/>
          <w:color w:val="auto"/>
          <w:spacing w:val="0"/>
          <w:sz w:val="21"/>
          <w:szCs w:val="21"/>
          <w:shd w:val="clear" w:fill="FFFFFF"/>
        </w:rPr>
        <w:t>     苏州科技城医院</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jc w:val="right"/>
        <w:rPr>
          <w:rFonts w:hint="eastAsia" w:ascii="宋体" w:hAnsi="宋体" w:eastAsia="宋体" w:cs="宋体"/>
          <w:i w:val="0"/>
          <w:iCs w:val="0"/>
          <w:caps w:val="0"/>
          <w:color w:val="auto"/>
          <w:spacing w:val="0"/>
          <w:sz w:val="21"/>
          <w:szCs w:val="21"/>
          <w:shd w:val="clear" w:fill="FFFFFF"/>
        </w:rPr>
      </w:pPr>
      <w:r>
        <w:rPr>
          <w:rFonts w:hint="default" w:ascii="Times New Roman" w:hAnsi="Times New Roman" w:eastAsia="宋体" w:cs="Times New Roman"/>
          <w:i w:val="0"/>
          <w:iCs w:val="0"/>
          <w:caps w:val="0"/>
          <w:color w:val="auto"/>
          <w:spacing w:val="0"/>
          <w:sz w:val="21"/>
          <w:szCs w:val="21"/>
          <w:shd w:val="clear" w:fill="FFFFFF"/>
        </w:rPr>
        <w:t>202</w:t>
      </w:r>
      <w:r>
        <w:rPr>
          <w:rFonts w:hint="eastAsia" w:ascii="Times New Roman" w:hAnsi="Times New Roman" w:cs="Times New Roman"/>
          <w:i w:val="0"/>
          <w:iCs w:val="0"/>
          <w:caps w:val="0"/>
          <w:color w:val="auto"/>
          <w:spacing w:val="0"/>
          <w:sz w:val="21"/>
          <w:szCs w:val="21"/>
          <w:shd w:val="clear" w:fill="FFFFFF"/>
          <w:lang w:val="en-US" w:eastAsia="zh-CN"/>
        </w:rPr>
        <w:t>2</w:t>
      </w:r>
      <w:r>
        <w:rPr>
          <w:rFonts w:hint="eastAsia" w:ascii="宋体" w:hAnsi="宋体" w:eastAsia="宋体" w:cs="宋体"/>
          <w:i w:val="0"/>
          <w:iCs w:val="0"/>
          <w:caps w:val="0"/>
          <w:color w:val="auto"/>
          <w:spacing w:val="0"/>
          <w:sz w:val="21"/>
          <w:szCs w:val="21"/>
          <w:shd w:val="clear" w:fill="FFFFFF"/>
        </w:rPr>
        <w:t>年</w:t>
      </w:r>
      <w:r>
        <w:rPr>
          <w:rFonts w:hint="eastAsia" w:ascii="Times New Roman" w:hAnsi="Times New Roman" w:cs="Times New Roman"/>
          <w:i w:val="0"/>
          <w:iCs w:val="0"/>
          <w:caps w:val="0"/>
          <w:color w:val="auto"/>
          <w:spacing w:val="0"/>
          <w:sz w:val="21"/>
          <w:szCs w:val="21"/>
          <w:shd w:val="clear" w:fill="FFFFFF"/>
          <w:lang w:val="en-US" w:eastAsia="zh-CN"/>
        </w:rPr>
        <w:t>3</w:t>
      </w:r>
      <w:r>
        <w:rPr>
          <w:rFonts w:hint="eastAsia" w:ascii="宋体" w:hAnsi="宋体" w:eastAsia="宋体" w:cs="宋体"/>
          <w:i w:val="0"/>
          <w:iCs w:val="0"/>
          <w:caps w:val="0"/>
          <w:color w:val="auto"/>
          <w:spacing w:val="0"/>
          <w:sz w:val="21"/>
          <w:szCs w:val="21"/>
          <w:shd w:val="clear" w:fill="FFFFFF"/>
        </w:rPr>
        <w:t>月</w:t>
      </w:r>
      <w:r>
        <w:rPr>
          <w:rFonts w:hint="eastAsia" w:ascii="Times New Roman" w:hAnsi="Times New Roman" w:cs="Times New Roman"/>
          <w:i w:val="0"/>
          <w:iCs w:val="0"/>
          <w:caps w:val="0"/>
          <w:color w:val="auto"/>
          <w:spacing w:val="0"/>
          <w:sz w:val="21"/>
          <w:szCs w:val="21"/>
          <w:shd w:val="clear" w:fill="FFFFFF"/>
          <w:lang w:val="en-US" w:eastAsia="zh-CN"/>
        </w:rPr>
        <w:t>28</w:t>
      </w:r>
      <w:r>
        <w:rPr>
          <w:rFonts w:hint="eastAsia" w:ascii="宋体" w:hAnsi="宋体" w:eastAsia="宋体" w:cs="宋体"/>
          <w:i w:val="0"/>
          <w:iCs w:val="0"/>
          <w:caps w:val="0"/>
          <w:color w:val="auto"/>
          <w:spacing w:val="0"/>
          <w:sz w:val="21"/>
          <w:szCs w:val="21"/>
          <w:shd w:val="clear" w:fill="FFFFFF"/>
        </w:rPr>
        <w:t>日</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jc w:val="right"/>
        <w:rPr>
          <w:rFonts w:hint="eastAsia" w:ascii="宋体" w:hAnsi="宋体" w:eastAsia="宋体" w:cs="宋体"/>
          <w:i w:val="0"/>
          <w:iCs w:val="0"/>
          <w:caps w:val="0"/>
          <w:color w:val="0000FF"/>
          <w:spacing w:val="0"/>
          <w:sz w:val="21"/>
          <w:szCs w:val="21"/>
          <w:shd w:val="clear" w:fill="FFFFFF"/>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jc w:val="right"/>
        <w:rPr>
          <w:rFonts w:hint="eastAsia" w:ascii="宋体" w:hAnsi="宋体" w:eastAsia="宋体" w:cs="宋体"/>
          <w:i w:val="0"/>
          <w:iCs w:val="0"/>
          <w:caps w:val="0"/>
          <w:color w:val="auto"/>
          <w:spacing w:val="0"/>
          <w:sz w:val="21"/>
          <w:szCs w:val="21"/>
          <w:shd w:val="clear" w:fill="FFFFFF"/>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jc w:val="right"/>
        <w:rPr>
          <w:rFonts w:hint="eastAsia" w:ascii="宋体" w:hAnsi="宋体" w:eastAsia="宋体" w:cs="宋体"/>
          <w:i w:val="0"/>
          <w:iCs w:val="0"/>
          <w:caps w:val="0"/>
          <w:color w:val="auto"/>
          <w:spacing w:val="0"/>
          <w:sz w:val="21"/>
          <w:szCs w:val="21"/>
          <w:shd w:val="clear" w:fill="FFFFFF"/>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jc w:val="right"/>
        <w:rPr>
          <w:rFonts w:hint="eastAsia" w:ascii="宋体" w:hAnsi="宋体" w:eastAsia="宋体" w:cs="宋体"/>
          <w:i w:val="0"/>
          <w:iCs w:val="0"/>
          <w:caps w:val="0"/>
          <w:color w:val="auto"/>
          <w:spacing w:val="0"/>
          <w:sz w:val="21"/>
          <w:szCs w:val="21"/>
          <w:shd w:val="clear" w:fill="FFFFFF"/>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jc w:val="right"/>
        <w:rPr>
          <w:rFonts w:hint="eastAsia" w:ascii="宋体" w:hAnsi="宋体" w:eastAsia="宋体" w:cs="宋体"/>
          <w:i w:val="0"/>
          <w:iCs w:val="0"/>
          <w:caps w:val="0"/>
          <w:color w:val="auto"/>
          <w:spacing w:val="0"/>
          <w:sz w:val="21"/>
          <w:szCs w:val="21"/>
          <w:shd w:val="clear" w:fill="FFFFFF"/>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jc w:val="right"/>
        <w:rPr>
          <w:rFonts w:hint="eastAsia" w:ascii="宋体" w:hAnsi="宋体" w:eastAsia="宋体" w:cs="宋体"/>
          <w:i w:val="0"/>
          <w:iCs w:val="0"/>
          <w:caps w:val="0"/>
          <w:color w:val="auto"/>
          <w:spacing w:val="0"/>
          <w:sz w:val="21"/>
          <w:szCs w:val="21"/>
          <w:shd w:val="clear" w:fill="FFFFFF"/>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jc w:val="right"/>
        <w:rPr>
          <w:rFonts w:hint="eastAsia" w:ascii="宋体" w:hAnsi="宋体" w:eastAsia="宋体" w:cs="宋体"/>
          <w:i w:val="0"/>
          <w:iCs w:val="0"/>
          <w:caps w:val="0"/>
          <w:color w:val="auto"/>
          <w:spacing w:val="0"/>
          <w:sz w:val="21"/>
          <w:szCs w:val="21"/>
          <w:shd w:val="clear" w:fill="FFFFFF"/>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jc w:val="right"/>
        <w:rPr>
          <w:rFonts w:hint="eastAsia" w:ascii="宋体" w:hAnsi="宋体" w:eastAsia="宋体" w:cs="宋体"/>
          <w:i w:val="0"/>
          <w:iCs w:val="0"/>
          <w:caps w:val="0"/>
          <w:color w:val="auto"/>
          <w:spacing w:val="0"/>
          <w:sz w:val="21"/>
          <w:szCs w:val="21"/>
          <w:shd w:val="clear" w:fill="FFFFFF"/>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jc w:val="right"/>
        <w:rPr>
          <w:rFonts w:hint="eastAsia" w:ascii="宋体" w:hAnsi="宋体" w:eastAsia="宋体" w:cs="宋体"/>
          <w:i w:val="0"/>
          <w:iCs w:val="0"/>
          <w:caps w:val="0"/>
          <w:color w:val="auto"/>
          <w:spacing w:val="0"/>
          <w:sz w:val="21"/>
          <w:szCs w:val="21"/>
          <w:shd w:val="clear" w:fill="FFFFFF"/>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jc w:val="right"/>
        <w:rPr>
          <w:rFonts w:hint="eastAsia" w:ascii="宋体" w:hAnsi="宋体" w:eastAsia="宋体" w:cs="宋体"/>
          <w:i w:val="0"/>
          <w:iCs w:val="0"/>
          <w:caps w:val="0"/>
          <w:color w:val="auto"/>
          <w:spacing w:val="0"/>
          <w:sz w:val="21"/>
          <w:szCs w:val="21"/>
          <w:shd w:val="clear" w:fill="FFFFFF"/>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jc w:val="right"/>
        <w:rPr>
          <w:rFonts w:hint="eastAsia" w:ascii="宋体" w:hAnsi="宋体" w:eastAsia="宋体" w:cs="宋体"/>
          <w:i w:val="0"/>
          <w:iCs w:val="0"/>
          <w:caps w:val="0"/>
          <w:color w:val="auto"/>
          <w:spacing w:val="0"/>
          <w:sz w:val="21"/>
          <w:szCs w:val="21"/>
          <w:shd w:val="clear" w:fill="FFFFFF"/>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jc w:val="right"/>
        <w:rPr>
          <w:rFonts w:hint="eastAsia" w:ascii="宋体" w:hAnsi="宋体" w:eastAsia="宋体" w:cs="宋体"/>
          <w:i w:val="0"/>
          <w:iCs w:val="0"/>
          <w:caps w:val="0"/>
          <w:color w:val="auto"/>
          <w:spacing w:val="0"/>
          <w:sz w:val="21"/>
          <w:szCs w:val="21"/>
          <w:shd w:val="clear" w:fill="FFFFFF"/>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jc w:val="right"/>
        <w:rPr>
          <w:rFonts w:hint="eastAsia" w:ascii="宋体" w:hAnsi="宋体" w:eastAsia="宋体" w:cs="宋体"/>
          <w:i w:val="0"/>
          <w:iCs w:val="0"/>
          <w:caps w:val="0"/>
          <w:color w:val="auto"/>
          <w:spacing w:val="0"/>
          <w:sz w:val="21"/>
          <w:szCs w:val="21"/>
          <w:shd w:val="clear" w:fill="FFFFFF"/>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jc w:val="right"/>
        <w:rPr>
          <w:rFonts w:hint="eastAsia" w:ascii="宋体" w:hAnsi="宋体" w:eastAsia="宋体" w:cs="宋体"/>
          <w:i w:val="0"/>
          <w:iCs w:val="0"/>
          <w:caps w:val="0"/>
          <w:color w:val="auto"/>
          <w:spacing w:val="0"/>
          <w:sz w:val="21"/>
          <w:szCs w:val="21"/>
          <w:shd w:val="clear" w:fill="FFFFFF"/>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jc w:val="right"/>
        <w:rPr>
          <w:rFonts w:hint="eastAsia" w:ascii="宋体" w:hAnsi="宋体" w:eastAsia="宋体" w:cs="宋体"/>
          <w:i w:val="0"/>
          <w:iCs w:val="0"/>
          <w:caps w:val="0"/>
          <w:color w:val="auto"/>
          <w:spacing w:val="0"/>
          <w:sz w:val="21"/>
          <w:szCs w:val="21"/>
          <w:shd w:val="clear" w:fill="FFFFFF"/>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jc w:val="right"/>
        <w:rPr>
          <w:rFonts w:hint="eastAsia" w:ascii="宋体" w:hAnsi="宋体" w:eastAsia="宋体" w:cs="宋体"/>
          <w:i w:val="0"/>
          <w:iCs w:val="0"/>
          <w:caps w:val="0"/>
          <w:color w:val="auto"/>
          <w:spacing w:val="0"/>
          <w:sz w:val="21"/>
          <w:szCs w:val="21"/>
          <w:shd w:val="clear" w:fill="FFFFFF"/>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jc w:val="right"/>
        <w:rPr>
          <w:rFonts w:hint="eastAsia" w:ascii="宋体" w:hAnsi="宋体" w:eastAsia="宋体" w:cs="宋体"/>
          <w:i w:val="0"/>
          <w:iCs w:val="0"/>
          <w:caps w:val="0"/>
          <w:color w:val="auto"/>
          <w:spacing w:val="0"/>
          <w:sz w:val="21"/>
          <w:szCs w:val="21"/>
          <w:shd w:val="clear" w:fill="FFFFFF"/>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jc w:val="right"/>
        <w:rPr>
          <w:rFonts w:hint="eastAsia" w:ascii="宋体" w:hAnsi="宋体" w:eastAsia="宋体" w:cs="宋体"/>
          <w:i w:val="0"/>
          <w:iCs w:val="0"/>
          <w:caps w:val="0"/>
          <w:color w:val="auto"/>
          <w:spacing w:val="0"/>
          <w:sz w:val="21"/>
          <w:szCs w:val="21"/>
          <w:shd w:val="clear" w:fill="FFFFFF"/>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firstLine="420"/>
        <w:jc w:val="right"/>
        <w:rPr>
          <w:rFonts w:hint="eastAsia" w:ascii="宋体" w:hAnsi="宋体" w:eastAsia="宋体" w:cs="宋体"/>
          <w:i w:val="0"/>
          <w:iCs w:val="0"/>
          <w:caps w:val="0"/>
          <w:color w:val="auto"/>
          <w:spacing w:val="0"/>
          <w:sz w:val="21"/>
          <w:szCs w:val="21"/>
          <w:shd w:val="clear" w:fill="FFFFFF"/>
        </w:rPr>
      </w:pPr>
    </w:p>
    <w:p>
      <w:pPr>
        <w:spacing w:line="360" w:lineRule="auto"/>
        <w:jc w:val="center"/>
        <w:rPr>
          <w:rFonts w:eastAsia="黑体"/>
          <w:b/>
          <w:sz w:val="36"/>
        </w:rPr>
      </w:pPr>
      <w:r>
        <w:rPr>
          <w:rFonts w:hint="eastAsia" w:eastAsia="黑体"/>
          <w:b/>
          <w:sz w:val="36"/>
        </w:rPr>
        <w:t>谈判采购文件</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rPr>
          <w:rFonts w:hint="eastAsia"/>
          <w:bCs/>
          <w:color w:val="auto"/>
        </w:rPr>
      </w:pPr>
      <w:r>
        <w:rPr>
          <w:rFonts w:hint="eastAsia"/>
          <w:bCs/>
          <w:color w:val="auto"/>
        </w:rPr>
        <w:t>苏州科技城医院拟对“机械式停车设备维保服务项目”进行谈判采购，欢迎符合谈判采购文件资格条件的各供应商前来报名参加谈判。</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rPr>
          <w:color w:val="auto"/>
        </w:rPr>
      </w:pPr>
      <w:r>
        <w:rPr>
          <w:rFonts w:hint="eastAsia"/>
          <w:bCs/>
          <w:color w:val="auto"/>
        </w:rPr>
        <w:t>一、采购编号：</w:t>
      </w:r>
      <w:r>
        <w:rPr>
          <w:rFonts w:hint="eastAsia"/>
          <w:bCs/>
          <w:color w:val="auto"/>
          <w:lang w:val="en-US" w:eastAsia="zh-CN"/>
        </w:rPr>
        <w:t>KYWB 2022--002</w:t>
      </w:r>
      <w:r>
        <w:rPr>
          <w:rFonts w:hint="eastAsia"/>
          <w:color w:val="auto"/>
        </w:rPr>
        <w:t>号</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rPr>
          <w:rFonts w:ascii="宋体" w:hAnsi="宋体" w:cs="宋体"/>
          <w:bCs/>
          <w:szCs w:val="21"/>
        </w:rPr>
      </w:pPr>
      <w:r>
        <w:rPr>
          <w:rFonts w:hint="eastAsia"/>
          <w:bCs/>
        </w:rPr>
        <w:t>二、采购项目名称：机械式停车设备</w:t>
      </w:r>
      <w:r>
        <w:rPr>
          <w:rFonts w:hint="eastAsia" w:ascii="宋体" w:hAnsi="宋体" w:cs="宋体"/>
          <w:bCs/>
          <w:szCs w:val="21"/>
        </w:rPr>
        <w:t>维保服务项目</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rPr>
          <w:rFonts w:hint="eastAsia" w:eastAsia="宋体"/>
          <w:bCs/>
          <w:lang w:val="en-US" w:eastAsia="zh-CN"/>
        </w:rPr>
      </w:pPr>
      <w:r>
        <w:rPr>
          <w:rFonts w:hint="eastAsia"/>
          <w:bCs/>
        </w:rPr>
        <w:t>三、服务期限：</w:t>
      </w:r>
      <w:r>
        <w:rPr>
          <w:rFonts w:hint="eastAsia"/>
          <w:kern w:val="0"/>
          <w:lang w:val="en-US" w:eastAsia="zh-CN"/>
        </w:rPr>
        <w:t>一年</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pPr>
      <w:r>
        <w:rPr>
          <w:rFonts w:hint="eastAsia"/>
        </w:rPr>
        <w:t>四、采购项目要求：</w:t>
      </w:r>
    </w:p>
    <w:p>
      <w:pPr>
        <w:keepNext w:val="0"/>
        <w:keepLines w:val="0"/>
        <w:pageBreakBefore w:val="0"/>
        <w:kinsoku/>
        <w:wordWrap/>
        <w:overflowPunct/>
        <w:topLinePunct w:val="0"/>
        <w:autoSpaceDE w:val="0"/>
        <w:autoSpaceDN w:val="0"/>
        <w:bidi w:val="0"/>
        <w:adjustRightInd w:val="0"/>
        <w:snapToGrid w:val="0"/>
        <w:spacing w:line="400" w:lineRule="exact"/>
        <w:ind w:left="0" w:leftChars="0" w:right="0" w:firstLine="420" w:firstLineChars="200"/>
        <w:jc w:val="left"/>
        <w:outlineLvl w:val="9"/>
        <w:rPr>
          <w:kern w:val="0"/>
        </w:rPr>
      </w:pPr>
      <w:r>
        <w:rPr>
          <w:kern w:val="0"/>
        </w:rPr>
        <w:t>（一）维保周期</w:t>
      </w:r>
    </w:p>
    <w:p>
      <w:pPr>
        <w:pStyle w:val="2"/>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rPr>
          <w:rFonts w:hint="eastAsia" w:eastAsia="宋体"/>
          <w:bCs/>
          <w:sz w:val="21"/>
          <w:lang w:val="en-US" w:eastAsia="zh-CN"/>
        </w:rPr>
      </w:pPr>
      <w:r>
        <w:rPr>
          <w:rFonts w:hint="eastAsia"/>
          <w:bCs/>
          <w:sz w:val="21"/>
        </w:rPr>
        <w:t>服务期限：</w:t>
      </w:r>
      <w:r>
        <w:rPr>
          <w:rFonts w:hint="eastAsia"/>
          <w:bCs/>
          <w:sz w:val="21"/>
          <w:lang w:val="en-US" w:eastAsia="zh-CN"/>
        </w:rPr>
        <w:t>一年</w:t>
      </w:r>
    </w:p>
    <w:p>
      <w:pPr>
        <w:pStyle w:val="2"/>
        <w:keepNext w:val="0"/>
        <w:keepLines w:val="0"/>
        <w:pageBreakBefore w:val="0"/>
        <w:numPr>
          <w:ilvl w:val="0"/>
          <w:numId w:val="1"/>
        </w:numPr>
        <w:kinsoku/>
        <w:wordWrap/>
        <w:overflowPunct/>
        <w:topLinePunct w:val="0"/>
        <w:bidi w:val="0"/>
        <w:adjustRightInd w:val="0"/>
        <w:snapToGrid w:val="0"/>
        <w:spacing w:line="400" w:lineRule="exact"/>
        <w:ind w:left="0" w:leftChars="0" w:right="0" w:firstLine="420" w:firstLineChars="200"/>
        <w:jc w:val="left"/>
        <w:outlineLvl w:val="9"/>
        <w:rPr>
          <w:rFonts w:hint="eastAsia"/>
          <w:bCs/>
          <w:sz w:val="21"/>
        </w:rPr>
      </w:pPr>
      <w:r>
        <w:rPr>
          <w:rFonts w:hint="eastAsia"/>
          <w:bCs/>
          <w:sz w:val="21"/>
        </w:rPr>
        <w:t>维保内容及范围：</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rPr>
        <w:t xml:space="preserve">        </w:t>
      </w:r>
      <w:r>
        <w:rPr>
          <w:bCs/>
        </w:rPr>
        <w:t>维修保养实施方案及保证措施</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bookmarkStart w:id="0" w:name="_Toc1560"/>
      <w:bookmarkEnd w:id="0"/>
      <w:r>
        <w:rPr>
          <w:bCs/>
        </w:rPr>
        <w:t>1</w:t>
      </w:r>
      <w:r>
        <w:rPr>
          <w:rFonts w:hint="eastAsia"/>
          <w:bCs/>
          <w:lang w:eastAsia="zh-CN"/>
        </w:rPr>
        <w:t>、</w:t>
      </w:r>
      <w:r>
        <w:rPr>
          <w:bCs/>
        </w:rPr>
        <w:t>日常维护保养时间及服务要求</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bCs/>
        </w:rPr>
        <w:t>月检查保养：停车设备在间隔不超过一个月的时间内，应进行一次清洁、润滑、调整和检查。尤其应对停车设备的主要安全装置的工作情况，进行一次仔细的检查，发现问题即刻处理。对各润滑部位进行一次检查，视需要加补润滑油。</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w:t>
      </w:r>
      <w:r>
        <w:rPr>
          <w:rFonts w:hint="eastAsia"/>
          <w:bCs/>
          <w:lang w:val="en-US" w:eastAsia="zh-CN"/>
        </w:rPr>
        <w:t>1</w:t>
      </w:r>
      <w:r>
        <w:rPr>
          <w:rFonts w:hint="eastAsia"/>
          <w:bCs/>
          <w:lang w:eastAsia="zh-CN"/>
        </w:rPr>
        <w:t>）</w:t>
      </w:r>
      <w:r>
        <w:rPr>
          <w:bCs/>
        </w:rPr>
        <w:t>按照相关规定进行季度以及年度重点的全面检查和保养。</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①</w:t>
      </w:r>
      <w:r>
        <w:rPr>
          <w:bCs/>
        </w:rPr>
        <w:t>季度检查保养：应对机械停车设备的各传动部分（引机、平移装置、定值装置等）进行全面检查，并进行必要的调整与维修。对各安全装置进行必要的调整，对电气控制控制系统进行检查。当月检查保养与季度检查保养同时进行。</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②</w:t>
      </w:r>
      <w:r>
        <w:rPr>
          <w:bCs/>
        </w:rPr>
        <w:t>年度检查保养：每年应对维修保养得停车设备进行一次检测，并由安全员签署检查报告。还应作一次全面性的技术检测（包括接地及电器耐压等），以对机械停车设备的工作状态作出评价，制定年保养计划。季度检查保养与年度检查保养同时进行。</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w:t>
      </w:r>
      <w:r>
        <w:rPr>
          <w:rFonts w:hint="eastAsia"/>
          <w:bCs/>
          <w:lang w:val="en-US" w:eastAsia="zh-CN"/>
        </w:rPr>
        <w:t>2</w:t>
      </w:r>
      <w:r>
        <w:rPr>
          <w:rFonts w:hint="eastAsia"/>
          <w:bCs/>
          <w:lang w:eastAsia="zh-CN"/>
        </w:rPr>
        <w:t>）</w:t>
      </w:r>
      <w:r>
        <w:rPr>
          <w:bCs/>
        </w:rPr>
        <w:t>除本条前两款规定之日常维护保养，甲方可根据设备运行状况制定特定保养和检查，但每年不超过一次。派遣具备丰富经验的工程师进行配合，并于检查完毕5个工作日内提交书面检查报告。</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w:t>
      </w:r>
      <w:r>
        <w:rPr>
          <w:rFonts w:hint="eastAsia"/>
          <w:bCs/>
          <w:lang w:val="en-US" w:eastAsia="zh-CN"/>
        </w:rPr>
        <w:t>3</w:t>
      </w:r>
      <w:r>
        <w:rPr>
          <w:rFonts w:hint="eastAsia"/>
          <w:bCs/>
          <w:lang w:eastAsia="zh-CN"/>
        </w:rPr>
        <w:t>）</w:t>
      </w:r>
      <w:r>
        <w:rPr>
          <w:bCs/>
        </w:rPr>
        <w:t>设备在需要进行年检之前30天，派遣具备丰富经验的工程师进行配合，并于检查完毕5个工作日内提交书面检查报告。</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w:t>
      </w:r>
      <w:r>
        <w:rPr>
          <w:rFonts w:hint="eastAsia"/>
          <w:bCs/>
          <w:lang w:val="en-US" w:eastAsia="zh-CN"/>
        </w:rPr>
        <w:t>4</w:t>
      </w:r>
      <w:r>
        <w:rPr>
          <w:rFonts w:hint="eastAsia"/>
          <w:bCs/>
          <w:lang w:eastAsia="zh-CN"/>
        </w:rPr>
        <w:t>）</w:t>
      </w:r>
      <w:r>
        <w:rPr>
          <w:bCs/>
        </w:rPr>
        <w:t>临时检查保养：</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bCs/>
        </w:rPr>
        <w:t>停车设备停用较长时间或地震、火灾后，进行全面性的详细检查后，才能投入使用。</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bookmarkStart w:id="1" w:name="_Toc31892"/>
      <w:bookmarkEnd w:id="1"/>
      <w:r>
        <w:rPr>
          <w:rFonts w:hint="eastAsia"/>
          <w:bCs/>
          <w:lang w:val="en-US" w:eastAsia="zh-CN"/>
        </w:rPr>
        <w:t>2、</w:t>
      </w:r>
      <w:r>
        <w:rPr>
          <w:bCs/>
        </w:rPr>
        <w:t>故障抢修</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w:t>
      </w:r>
      <w:r>
        <w:rPr>
          <w:rFonts w:hint="eastAsia"/>
          <w:bCs/>
          <w:lang w:val="en-US" w:eastAsia="zh-CN"/>
        </w:rPr>
        <w:t>1</w:t>
      </w:r>
      <w:r>
        <w:rPr>
          <w:rFonts w:hint="eastAsia"/>
          <w:bCs/>
          <w:lang w:eastAsia="zh-CN"/>
        </w:rPr>
        <w:t>）</w:t>
      </w:r>
      <w:r>
        <w:rPr>
          <w:bCs/>
        </w:rPr>
        <w:t>提供报修电话及投诉电话，甲方通过电话方式向乙方报修。报修和投诉电话应保持24小时畅通。</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w:t>
      </w:r>
      <w:r>
        <w:rPr>
          <w:rFonts w:hint="eastAsia"/>
          <w:bCs/>
          <w:lang w:val="en-US" w:eastAsia="zh-CN"/>
        </w:rPr>
        <w:t>2</w:t>
      </w:r>
      <w:r>
        <w:rPr>
          <w:rFonts w:hint="eastAsia"/>
          <w:bCs/>
          <w:lang w:eastAsia="zh-CN"/>
        </w:rPr>
        <w:t>）</w:t>
      </w:r>
      <w:r>
        <w:rPr>
          <w:bCs/>
        </w:rPr>
        <w:t>遇有故障时，乙方接到故障报修电话后，维修人员应在乙方获通知1小时内赶到现场，（因不可抗力之事由而延迟者，不在此限）抢修人员24小时365天待命，一般性维修应在2小时内完成，重大维修项目应在24小时内完成。</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w:t>
      </w:r>
      <w:r>
        <w:rPr>
          <w:rFonts w:hint="eastAsia"/>
          <w:bCs/>
          <w:lang w:val="en-US" w:eastAsia="zh-CN"/>
        </w:rPr>
        <w:t>3</w:t>
      </w:r>
      <w:r>
        <w:rPr>
          <w:rFonts w:hint="eastAsia"/>
          <w:bCs/>
          <w:lang w:eastAsia="zh-CN"/>
        </w:rPr>
        <w:t>）</w:t>
      </w:r>
      <w:r>
        <w:rPr>
          <w:bCs/>
        </w:rPr>
        <w:t>乙方报修电话、投诉电话发生改变必须在改变后2日内告知甲方。</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bookmarkStart w:id="2" w:name="_Toc271278110"/>
      <w:bookmarkEnd w:id="2"/>
      <w:bookmarkStart w:id="3" w:name="_Toc269395693"/>
      <w:bookmarkEnd w:id="3"/>
      <w:bookmarkStart w:id="4" w:name="_Toc27762"/>
      <w:bookmarkEnd w:id="4"/>
      <w:bookmarkStart w:id="5" w:name="_Toc269735594"/>
      <w:bookmarkEnd w:id="5"/>
      <w:bookmarkStart w:id="6" w:name="_Toc269398888"/>
      <w:bookmarkEnd w:id="6"/>
      <w:bookmarkStart w:id="7" w:name="_Toc269466551"/>
      <w:bookmarkEnd w:id="7"/>
      <w:r>
        <w:rPr>
          <w:rFonts w:hint="eastAsia"/>
          <w:bCs/>
        </w:rPr>
        <w:t>（三）服务要求：</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bookmarkStart w:id="8" w:name="_Toc357438078"/>
      <w:bookmarkEnd w:id="8"/>
      <w:bookmarkStart w:id="9" w:name="_Toc16593"/>
      <w:bookmarkEnd w:id="9"/>
      <w:bookmarkStart w:id="10" w:name="_Toc353225745"/>
      <w:bookmarkEnd w:id="10"/>
      <w:bookmarkStart w:id="11" w:name="_Toc362610972"/>
      <w:bookmarkEnd w:id="11"/>
      <w:bookmarkStart w:id="12" w:name="_Toc276998762"/>
      <w:bookmarkEnd w:id="12"/>
      <w:bookmarkStart w:id="13" w:name="_Toc353225842"/>
      <w:bookmarkEnd w:id="13"/>
      <w:bookmarkStart w:id="14" w:name="_Toc362349546"/>
      <w:bookmarkEnd w:id="14"/>
      <w:bookmarkStart w:id="15" w:name="_Toc353219276"/>
      <w:bookmarkEnd w:id="15"/>
      <w:bookmarkStart w:id="16" w:name="_Toc362351013"/>
      <w:bookmarkEnd w:id="16"/>
      <w:bookmarkStart w:id="17" w:name="_Toc312322143"/>
      <w:bookmarkEnd w:id="17"/>
      <w:bookmarkStart w:id="18" w:name="_Toc362527932"/>
      <w:bookmarkEnd w:id="18"/>
      <w:bookmarkStart w:id="19" w:name="_Toc19989"/>
      <w:bookmarkEnd w:id="19"/>
      <w:bookmarkStart w:id="20" w:name="_Toc277229306"/>
      <w:bookmarkEnd w:id="20"/>
      <w:bookmarkStart w:id="21" w:name="_Toc25698"/>
      <w:bookmarkEnd w:id="21"/>
      <w:bookmarkStart w:id="22" w:name="_Toc362351817"/>
      <w:bookmarkEnd w:id="22"/>
      <w:bookmarkStart w:id="23" w:name="_Toc362621116"/>
      <w:bookmarkEnd w:id="23"/>
      <w:bookmarkStart w:id="24" w:name="_Toc275519620"/>
      <w:bookmarkEnd w:id="24"/>
      <w:bookmarkStart w:id="25" w:name="_Toc29294"/>
      <w:bookmarkEnd w:id="25"/>
      <w:r>
        <w:rPr>
          <w:rFonts w:hint="eastAsia"/>
          <w:bCs/>
        </w:rPr>
        <w:t>1、维修保养</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w:t>
      </w:r>
      <w:r>
        <w:rPr>
          <w:rFonts w:hint="eastAsia"/>
          <w:bCs/>
          <w:lang w:val="en-US" w:eastAsia="zh-CN"/>
        </w:rPr>
        <w:t>1</w:t>
      </w:r>
      <w:r>
        <w:rPr>
          <w:rFonts w:hint="eastAsia"/>
          <w:bCs/>
          <w:lang w:eastAsia="zh-CN"/>
        </w:rPr>
        <w:t>）</w:t>
      </w:r>
      <w:r>
        <w:rPr>
          <w:rFonts w:hint="eastAsia"/>
          <w:bCs/>
        </w:rPr>
        <w:t>系统完善的售后服务体系</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①</w:t>
      </w:r>
      <w:r>
        <w:rPr>
          <w:rFonts w:hint="eastAsia"/>
          <w:bCs/>
        </w:rPr>
        <w:t>一流的专业售后服务团体</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rPr>
        <w:t>技术中心负责设备所有技术资料的整理和分析工作；工程部负责设备年度维护保养计划编制、配件的采购；售后服务部在技术中心的指导下，具体负责设备故障的排除，同时按照工程部编制的维护保养计划按时对设备进行维护。</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②</w:t>
      </w:r>
      <w:r>
        <w:rPr>
          <w:rFonts w:hint="eastAsia"/>
          <w:bCs/>
        </w:rPr>
        <w:t>售后服务部有一批受过专业培训的工程师和技术人员，日常工作依照公司制订的《售后服务部管理细则》进行规范化操作，有本可循，管理完善。（《售后服务部管理细则》略）</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③</w:t>
      </w:r>
      <w:r>
        <w:rPr>
          <w:rFonts w:hint="eastAsia"/>
          <w:bCs/>
        </w:rPr>
        <w:t>配有售后服务部专用售后服务车辆及配套设备和工具，将全权负责设备的维护及检修工作。</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④</w:t>
      </w:r>
      <w:r>
        <w:rPr>
          <w:rFonts w:hint="eastAsia"/>
          <w:bCs/>
        </w:rPr>
        <w:t>设有备品备件库，随时储备有关易损件、电器元件及足够的主要备件，品种齐全，以便在最短时间内对损坏的零件进行更换，确保设备及时正常运行。</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⑤</w:t>
      </w:r>
      <w:r>
        <w:rPr>
          <w:rFonts w:hint="eastAsia"/>
          <w:bCs/>
        </w:rPr>
        <w:t>针对售后服务工作人员的工作质量、服务态度以及用户投诉等问题均实行严格管理；如果客户对我们的工作感到不满意，可向售后服务人员反映或直接向我公司投诉，我们将给予以客户满意的答复。</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bookmarkStart w:id="26" w:name="_Toc362351014"/>
      <w:bookmarkEnd w:id="26"/>
      <w:bookmarkStart w:id="27" w:name="_Toc362527933"/>
      <w:bookmarkEnd w:id="27"/>
      <w:bookmarkStart w:id="28" w:name="_Toc362349547"/>
      <w:bookmarkEnd w:id="28"/>
      <w:bookmarkStart w:id="29" w:name="_Toc429"/>
      <w:bookmarkEnd w:id="29"/>
      <w:bookmarkStart w:id="30" w:name="_Toc6379"/>
      <w:bookmarkEnd w:id="30"/>
      <w:bookmarkStart w:id="31" w:name="_Toc353219277"/>
      <w:bookmarkEnd w:id="31"/>
      <w:bookmarkStart w:id="32" w:name="_Toc362621117"/>
      <w:bookmarkEnd w:id="32"/>
      <w:bookmarkStart w:id="33" w:name="_Toc276998763"/>
      <w:bookmarkEnd w:id="33"/>
      <w:bookmarkStart w:id="34" w:name="_Toc312322144"/>
      <w:bookmarkEnd w:id="34"/>
      <w:bookmarkStart w:id="35" w:name="_Toc357438079"/>
      <w:bookmarkEnd w:id="35"/>
      <w:bookmarkStart w:id="36" w:name="_Toc362351818"/>
      <w:bookmarkEnd w:id="36"/>
      <w:bookmarkStart w:id="37" w:name="_Toc30542"/>
      <w:bookmarkEnd w:id="37"/>
      <w:bookmarkStart w:id="38" w:name="_Toc362610973"/>
      <w:bookmarkEnd w:id="38"/>
      <w:bookmarkStart w:id="39" w:name="_Toc275519621"/>
      <w:bookmarkEnd w:id="39"/>
      <w:bookmarkStart w:id="40" w:name="_Toc353225843"/>
      <w:bookmarkEnd w:id="40"/>
      <w:bookmarkStart w:id="41" w:name="_Toc353225746"/>
      <w:bookmarkEnd w:id="41"/>
      <w:bookmarkStart w:id="42" w:name="_Toc277229307"/>
      <w:bookmarkEnd w:id="42"/>
      <w:bookmarkStart w:id="43" w:name="_Toc21478"/>
      <w:bookmarkEnd w:id="43"/>
      <w:r>
        <w:rPr>
          <w:rFonts w:hint="eastAsia"/>
          <w:bCs/>
        </w:rPr>
        <w:t>2、详细的售后服务方案及培训内容</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w:t>
      </w:r>
      <w:r>
        <w:rPr>
          <w:rFonts w:hint="eastAsia"/>
          <w:bCs/>
          <w:lang w:val="en-US" w:eastAsia="zh-CN"/>
        </w:rPr>
        <w:t>1</w:t>
      </w:r>
      <w:r>
        <w:rPr>
          <w:rFonts w:hint="eastAsia"/>
          <w:bCs/>
          <w:lang w:eastAsia="zh-CN"/>
        </w:rPr>
        <w:t>）</w:t>
      </w:r>
      <w:r>
        <w:rPr>
          <w:rFonts w:hint="eastAsia"/>
          <w:bCs/>
        </w:rPr>
        <w:t>培训内容</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rPr>
        <w:t>在设备调试验收后，我们将对操作、维护人员进行培训，培训资料由我公司免费提供。未经培训的车库管理人员和车主，不得对车库进行操作和使用。培训的主要内容包括：</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①</w:t>
      </w:r>
      <w:r>
        <w:rPr>
          <w:rFonts w:hint="eastAsia"/>
          <w:bCs/>
        </w:rPr>
        <w:t>按照《机械立体停车设备用户手册》对设备进行正常操作和管理；</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②</w:t>
      </w:r>
      <w:r>
        <w:rPr>
          <w:rFonts w:hint="eastAsia"/>
          <w:bCs/>
        </w:rPr>
        <w:t>了解车库设备的性能、工作原理；</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③</w:t>
      </w:r>
      <w:r>
        <w:rPr>
          <w:rFonts w:hint="eastAsia"/>
          <w:bCs/>
        </w:rPr>
        <w:t>了解设备电气控制系统、控制原理；</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④</w:t>
      </w:r>
      <w:r>
        <w:rPr>
          <w:rFonts w:hint="eastAsia"/>
          <w:bCs/>
        </w:rPr>
        <w:t>掌握设备机械传动方式及相关部件的保养；</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⑤</w:t>
      </w:r>
      <w:r>
        <w:rPr>
          <w:rFonts w:hint="eastAsia"/>
          <w:bCs/>
        </w:rPr>
        <w:t>掌握车库设备日常维护保养措施，易损件更换步骤；</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⑥</w:t>
      </w:r>
      <w:r>
        <w:rPr>
          <w:rFonts w:hint="eastAsia"/>
          <w:bCs/>
        </w:rPr>
        <w:t>掌握车库设备故障分析与排除方法。</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w:t>
      </w:r>
      <w:r>
        <w:rPr>
          <w:rFonts w:hint="eastAsia"/>
          <w:bCs/>
          <w:lang w:val="en-US" w:eastAsia="zh-CN"/>
        </w:rPr>
        <w:t>2</w:t>
      </w:r>
      <w:r>
        <w:rPr>
          <w:rFonts w:hint="eastAsia"/>
          <w:bCs/>
          <w:lang w:eastAsia="zh-CN"/>
        </w:rPr>
        <w:t>）</w:t>
      </w:r>
      <w:r>
        <w:rPr>
          <w:rFonts w:hint="eastAsia"/>
          <w:bCs/>
        </w:rPr>
        <w:t>定期维保</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rPr>
        <w:t>所有的检查、保养和维修均由我们的专业维护人员负责。</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rPr>
        <w:t>季检查保养</w:t>
      </w:r>
      <w:r>
        <w:rPr>
          <w:rFonts w:hint="eastAsia"/>
          <w:bCs/>
          <w:lang w:eastAsia="zh-CN"/>
        </w:rPr>
        <w:t>：</w:t>
      </w:r>
      <w:r>
        <w:rPr>
          <w:rFonts w:hint="eastAsia"/>
          <w:bCs/>
        </w:rPr>
        <w:t>应对车库各传动部分（平移链条、定位锁、平移滑板、导向轮、导轨等）进行全面检查，并进行必要的调整与维修。对各安全装置进行必要的调整，对电气控制系统进行工作情况检查。</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rPr>
        <w:t>年检查保养：每年应对维修保养的车库进行一次检测。年度检测由维修保养企业的注册安全员实施并签署检测报告，应作一次全面性的技术检查（包括接地及电器耐压等），并对车库的工作状况做出评价，制定年保养计划，修理及更换磨损的主要部件。</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w:t>
      </w:r>
      <w:r>
        <w:rPr>
          <w:rFonts w:hint="eastAsia"/>
          <w:bCs/>
          <w:lang w:val="en-US" w:eastAsia="zh-CN"/>
        </w:rPr>
        <w:t>3</w:t>
      </w:r>
      <w:r>
        <w:rPr>
          <w:rFonts w:hint="eastAsia"/>
          <w:bCs/>
          <w:lang w:eastAsia="zh-CN"/>
        </w:rPr>
        <w:t>）</w:t>
      </w:r>
      <w:r>
        <w:rPr>
          <w:rFonts w:hint="eastAsia"/>
          <w:bCs/>
        </w:rPr>
        <w:t>临时检查保养</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rPr>
        <w:t>在车库停用较长时间及地震、火灾后，需进行全面性的详细检查才能投入使用。</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w:t>
      </w:r>
      <w:r>
        <w:rPr>
          <w:rFonts w:hint="eastAsia"/>
          <w:bCs/>
          <w:lang w:val="en-US" w:eastAsia="zh-CN"/>
        </w:rPr>
        <w:t>4</w:t>
      </w:r>
      <w:r>
        <w:rPr>
          <w:rFonts w:hint="eastAsia"/>
          <w:bCs/>
          <w:lang w:eastAsia="zh-CN"/>
        </w:rPr>
        <w:t>）</w:t>
      </w:r>
      <w:r>
        <w:rPr>
          <w:rFonts w:hint="eastAsia"/>
          <w:bCs/>
        </w:rPr>
        <w:t>紧急故障处理</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rPr>
        <w:t>车库运行过程中发生意外故障，售后服务人员接到用户的“叫修”通知后，赶赴现场，及时对故障进行排除和处理。</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w:t>
      </w:r>
      <w:r>
        <w:rPr>
          <w:rFonts w:hint="eastAsia"/>
          <w:bCs/>
          <w:lang w:val="en-US" w:eastAsia="zh-CN"/>
        </w:rPr>
        <w:t>5</w:t>
      </w:r>
      <w:r>
        <w:rPr>
          <w:rFonts w:hint="eastAsia"/>
          <w:bCs/>
          <w:lang w:eastAsia="zh-CN"/>
        </w:rPr>
        <w:t>）</w:t>
      </w:r>
      <w:r>
        <w:rPr>
          <w:rFonts w:hint="eastAsia"/>
          <w:bCs/>
        </w:rPr>
        <w:t>维保中的存取车服务</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rPr>
        <w:t>对定期维护和不影响正常运行的维修过程中的存取车要求应在保证安全的情况下予以满足。此时经车库管理人员与维护人员通讯协调后，应暂停维护工作，将车库操纵权交还管理人员，优先提供存取车服务。</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bookmarkStart w:id="44" w:name="_Toc18166"/>
      <w:bookmarkEnd w:id="44"/>
      <w:r>
        <w:rPr>
          <w:rFonts w:hint="eastAsia"/>
          <w:bCs/>
        </w:rPr>
        <w:t>3、售后服务管理步骤</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w:t>
      </w:r>
      <w:r>
        <w:rPr>
          <w:rFonts w:hint="eastAsia"/>
          <w:bCs/>
          <w:lang w:val="en-US" w:eastAsia="zh-CN"/>
        </w:rPr>
        <w:t>1</w:t>
      </w:r>
      <w:r>
        <w:rPr>
          <w:rFonts w:hint="eastAsia"/>
          <w:bCs/>
          <w:lang w:eastAsia="zh-CN"/>
        </w:rPr>
        <w:t>）</w:t>
      </w:r>
      <w:r>
        <w:rPr>
          <w:rFonts w:hint="eastAsia"/>
          <w:bCs/>
        </w:rPr>
        <w:t>接收售后服务申请意见</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①</w:t>
      </w:r>
      <w:r>
        <w:rPr>
          <w:rFonts w:hint="eastAsia"/>
          <w:bCs/>
        </w:rPr>
        <w:t>我们的售后服务部负责人接到客户的售后服务申请意见后，立即在《售后服务管理台帐》上记录接收日期、地区、企业名称、产品型号及要求事项。</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②</w:t>
      </w:r>
      <w:r>
        <w:rPr>
          <w:rFonts w:hint="eastAsia"/>
          <w:bCs/>
        </w:rPr>
        <w:t>售后服务申请内容涉及到器材问题时，我们的售后服务负责人制定购买认可书，得到部门经理的认可后，提交到采购部。此时，需区分售后服务为收纳保修费用的服务还是不收纳保修费用的服务。属于收纳保修费用的服务时，得到客户的同意后进行；属于不收纳保修费用的服务时，调查原因。由制作、安装错误引起的不满意见需提交到相关部门。</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③</w:t>
      </w:r>
      <w:r>
        <w:rPr>
          <w:rFonts w:hint="eastAsia"/>
          <w:bCs/>
        </w:rPr>
        <w:t>当本公司其他部门接受到客户的售后服务申请意见后，记录下来，并快速提交给本公司售后服务部门负责人。</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④</w:t>
      </w:r>
      <w:r>
        <w:rPr>
          <w:rFonts w:hint="eastAsia"/>
          <w:bCs/>
        </w:rPr>
        <w:t>本公司售后服务部门负责人制定关于每日售后服务部门业务报告，并向部门经理汇报。</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w:t>
      </w:r>
      <w:r>
        <w:rPr>
          <w:rFonts w:hint="eastAsia"/>
          <w:bCs/>
          <w:lang w:val="en-US" w:eastAsia="zh-CN"/>
        </w:rPr>
        <w:t>2</w:t>
      </w:r>
      <w:r>
        <w:rPr>
          <w:rFonts w:hint="eastAsia"/>
          <w:bCs/>
          <w:lang w:eastAsia="zh-CN"/>
        </w:rPr>
        <w:t>）</w:t>
      </w:r>
      <w:r>
        <w:rPr>
          <w:rFonts w:hint="eastAsia"/>
          <w:bCs/>
        </w:rPr>
        <w:t>客户服务申请原因调查</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①</w:t>
      </w:r>
      <w:r>
        <w:rPr>
          <w:rFonts w:hint="eastAsia"/>
          <w:bCs/>
        </w:rPr>
        <w:t>我们的售后服务部门收到客户的服务申请后，应立即采取应急措施，调查原因，在业务联络文件上记录客户申请服务原因等相关事项，并向相关部门通知。当售后服务部门无法单独判定原因时，交到质量控制部调查原因。</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②</w:t>
      </w:r>
      <w:r>
        <w:rPr>
          <w:rFonts w:hint="eastAsia"/>
          <w:bCs/>
        </w:rPr>
        <w:t>得到业务联络文件的相关部门在指定相应措施后，将其结果通知给售后服务部门。售后服务部门审查其结果，采取适当的措施。</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③</w:t>
      </w:r>
      <w:r>
        <w:rPr>
          <w:rFonts w:hint="eastAsia"/>
          <w:bCs/>
        </w:rPr>
        <w:t>重要的客户服务申请信息，向相关部门通知之前，须交到总经理办公室及质量控制部做决定。（所谓重要的客户服务申请信息特指要求回收产品、巨额赔偿、变更设计及制造工艺等）</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w:t>
      </w:r>
      <w:r>
        <w:rPr>
          <w:rFonts w:hint="eastAsia"/>
          <w:bCs/>
          <w:lang w:val="en-US" w:eastAsia="zh-CN"/>
        </w:rPr>
        <w:t>3</w:t>
      </w:r>
      <w:r>
        <w:rPr>
          <w:rFonts w:hint="eastAsia"/>
          <w:bCs/>
          <w:lang w:eastAsia="zh-CN"/>
        </w:rPr>
        <w:t>）</w:t>
      </w:r>
      <w:r>
        <w:rPr>
          <w:rFonts w:hint="eastAsia"/>
          <w:bCs/>
        </w:rPr>
        <w:t>客户服务申请处理方法</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①</w:t>
      </w:r>
      <w:r>
        <w:rPr>
          <w:rFonts w:hint="eastAsia"/>
          <w:bCs/>
        </w:rPr>
        <w:t>客户服务申请处理方法是审查其内容及原因后采取相应的措施。</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②</w:t>
      </w:r>
      <w:r>
        <w:rPr>
          <w:rFonts w:hint="eastAsia"/>
          <w:bCs/>
        </w:rPr>
        <w:t>当客户的售后服务申请被判定为收纳保修费用的服务时，制定报价单，提交给客户，得到客户的同意后，获得部门经理的认可。需要材料或配件时，向采购部申请相关配件，进行售后服务。</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③</w:t>
      </w:r>
      <w:r>
        <w:rPr>
          <w:rFonts w:hint="eastAsia"/>
          <w:bCs/>
        </w:rPr>
        <w:t>产品修理后可恢复使用时，给予修理处理。</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w:t>
      </w:r>
      <w:r>
        <w:rPr>
          <w:rFonts w:hint="eastAsia"/>
          <w:bCs/>
          <w:lang w:val="en-US" w:eastAsia="zh-CN"/>
        </w:rPr>
        <w:t>4</w:t>
      </w:r>
      <w:r>
        <w:rPr>
          <w:rFonts w:hint="eastAsia"/>
          <w:bCs/>
          <w:lang w:eastAsia="zh-CN"/>
        </w:rPr>
        <w:t>）</w:t>
      </w:r>
      <w:r>
        <w:rPr>
          <w:rFonts w:hint="eastAsia"/>
          <w:bCs/>
        </w:rPr>
        <w:t>处理及通知</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rPr>
        <w:t xml:space="preserve">售后服务部门负责人按客户的要求处理，得到客户的确认后，应将得到确认的售后服务事项之处理结果记录在《售后服务管理台帐》上。 </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bCs/>
          <w:lang w:eastAsia="zh-CN"/>
        </w:rPr>
        <w:t>（</w:t>
      </w:r>
      <w:r>
        <w:rPr>
          <w:rFonts w:hint="eastAsia"/>
          <w:bCs/>
          <w:lang w:val="en-US" w:eastAsia="zh-CN"/>
        </w:rPr>
        <w:t>5</w:t>
      </w:r>
      <w:r>
        <w:rPr>
          <w:rFonts w:hint="eastAsia"/>
          <w:bCs/>
          <w:lang w:eastAsia="zh-CN"/>
        </w:rPr>
        <w:t>）</w:t>
      </w:r>
      <w:r>
        <w:rPr>
          <w:rFonts w:hint="eastAsia"/>
          <w:bCs/>
        </w:rPr>
        <w:t>制定对策</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rFonts w:hint="eastAsia"/>
          <w:bCs/>
          <w:lang w:eastAsia="zh-CN"/>
        </w:rPr>
      </w:pPr>
      <w:r>
        <w:rPr>
          <w:rFonts w:hint="eastAsia"/>
          <w:bCs/>
          <w:lang w:eastAsia="zh-CN"/>
        </w:rPr>
        <w:t>①接受业务联系文件的相关部门，制定防止再次发生此类不满事件的对策。</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rFonts w:hint="eastAsia"/>
          <w:bCs/>
          <w:lang w:eastAsia="zh-CN"/>
        </w:rPr>
      </w:pPr>
      <w:r>
        <w:rPr>
          <w:rFonts w:hint="eastAsia"/>
          <w:bCs/>
          <w:lang w:eastAsia="zh-CN"/>
        </w:rPr>
        <w:t>②我们的售后服务部门处理不满事宜后，总计分析不同月份的不满意见接受及处理情况，用做制定对策的参考资料。</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rFonts w:hint="eastAsia"/>
          <w:bCs/>
          <w:lang w:eastAsia="zh-CN"/>
        </w:rPr>
      </w:pPr>
      <w:r>
        <w:rPr>
          <w:rFonts w:hint="eastAsia"/>
          <w:bCs/>
          <w:lang w:eastAsia="zh-CN"/>
        </w:rPr>
        <w:t>（</w:t>
      </w:r>
      <w:r>
        <w:rPr>
          <w:rFonts w:hint="eastAsia"/>
          <w:bCs/>
          <w:lang w:val="en-US" w:eastAsia="zh-CN"/>
        </w:rPr>
        <w:t>6</w:t>
      </w:r>
      <w:r>
        <w:rPr>
          <w:rFonts w:hint="eastAsia"/>
          <w:bCs/>
          <w:lang w:eastAsia="zh-CN"/>
        </w:rPr>
        <w:t>）乙方将免费维修及提供新备件说明：</w:t>
      </w:r>
    </w:p>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rFonts w:hint="eastAsia"/>
          <w:bCs/>
          <w:lang w:eastAsia="zh-CN"/>
        </w:rPr>
      </w:pPr>
      <w:r>
        <w:rPr>
          <w:rFonts w:hint="eastAsia"/>
          <w:bCs/>
          <w:lang w:eastAsia="zh-CN"/>
        </w:rPr>
        <w:t>①维护期内，乙方将免费提供以下气动物流系统备件：</w:t>
      </w:r>
    </w:p>
    <w:tbl>
      <w:tblPr>
        <w:tblStyle w:val="9"/>
        <w:tblW w:w="8250" w:type="dxa"/>
        <w:jc w:val="center"/>
        <w:tblLayout w:type="fixed"/>
        <w:tblCellMar>
          <w:top w:w="0" w:type="dxa"/>
          <w:left w:w="108" w:type="dxa"/>
          <w:bottom w:w="0" w:type="dxa"/>
          <w:right w:w="108" w:type="dxa"/>
        </w:tblCellMar>
      </w:tblPr>
      <w:tblGrid>
        <w:gridCol w:w="713"/>
        <w:gridCol w:w="2310"/>
        <w:gridCol w:w="3097"/>
        <w:gridCol w:w="799"/>
        <w:gridCol w:w="1331"/>
      </w:tblGrid>
      <w:tr>
        <w:tblPrEx>
          <w:tblCellMar>
            <w:top w:w="0" w:type="dxa"/>
            <w:left w:w="108" w:type="dxa"/>
            <w:bottom w:w="0" w:type="dxa"/>
            <w:right w:w="108" w:type="dxa"/>
          </w:tblCellMar>
        </w:tblPrEx>
        <w:trPr>
          <w:trHeight w:val="390" w:hRule="atLeast"/>
          <w:jc w:val="center"/>
        </w:trPr>
        <w:tc>
          <w:tcPr>
            <w:tcW w:w="71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b/>
                <w:bCs/>
                <w:color w:val="000000"/>
                <w:kern w:val="0"/>
                <w:sz w:val="22"/>
              </w:rPr>
            </w:pPr>
            <w:r>
              <w:rPr>
                <w:rFonts w:hint="eastAsia" w:ascii="宋体" w:hAnsi="宋体" w:cs="宋体"/>
                <w:b/>
                <w:bCs/>
                <w:color w:val="000000"/>
                <w:kern w:val="0"/>
                <w:sz w:val="22"/>
              </w:rPr>
              <w:t>序号</w:t>
            </w:r>
          </w:p>
        </w:tc>
        <w:tc>
          <w:tcPr>
            <w:tcW w:w="231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b/>
                <w:bCs/>
                <w:color w:val="000000"/>
                <w:kern w:val="0"/>
                <w:sz w:val="22"/>
              </w:rPr>
            </w:pPr>
            <w:r>
              <w:rPr>
                <w:rFonts w:hint="eastAsia" w:ascii="宋体" w:hAnsi="宋体" w:cs="宋体"/>
                <w:b/>
                <w:bCs/>
                <w:color w:val="000000"/>
                <w:kern w:val="0"/>
                <w:sz w:val="22"/>
              </w:rPr>
              <w:t>器件名称</w:t>
            </w:r>
          </w:p>
        </w:tc>
        <w:tc>
          <w:tcPr>
            <w:tcW w:w="309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b/>
                <w:bCs/>
                <w:color w:val="000000"/>
                <w:kern w:val="0"/>
                <w:sz w:val="22"/>
              </w:rPr>
            </w:pPr>
            <w:r>
              <w:rPr>
                <w:rFonts w:hint="eastAsia" w:ascii="宋体" w:hAnsi="宋体" w:cs="宋体"/>
                <w:b/>
                <w:bCs/>
                <w:color w:val="000000"/>
                <w:kern w:val="0"/>
                <w:sz w:val="22"/>
              </w:rPr>
              <w:t>器件型号</w:t>
            </w:r>
          </w:p>
        </w:tc>
        <w:tc>
          <w:tcPr>
            <w:tcW w:w="799"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b/>
                <w:bCs/>
                <w:color w:val="000000"/>
                <w:kern w:val="0"/>
                <w:sz w:val="22"/>
              </w:rPr>
            </w:pPr>
            <w:r>
              <w:rPr>
                <w:rFonts w:hint="eastAsia" w:ascii="宋体" w:hAnsi="宋体" w:cs="宋体"/>
                <w:b/>
                <w:bCs/>
                <w:color w:val="000000"/>
                <w:kern w:val="0"/>
                <w:sz w:val="22"/>
              </w:rPr>
              <w:t>单位</w:t>
            </w:r>
          </w:p>
        </w:tc>
        <w:tc>
          <w:tcPr>
            <w:tcW w:w="133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b/>
                <w:bCs/>
                <w:color w:val="000000"/>
                <w:kern w:val="0"/>
                <w:sz w:val="22"/>
              </w:rPr>
            </w:pPr>
            <w:r>
              <w:rPr>
                <w:rFonts w:hint="eastAsia" w:ascii="宋体" w:hAnsi="宋体" w:cs="宋体"/>
                <w:b/>
                <w:bCs/>
                <w:color w:val="000000"/>
                <w:kern w:val="0"/>
                <w:sz w:val="22"/>
              </w:rPr>
              <w:t>品牌</w:t>
            </w:r>
          </w:p>
        </w:tc>
      </w:tr>
      <w:tr>
        <w:tblPrEx>
          <w:tblCellMar>
            <w:top w:w="0" w:type="dxa"/>
            <w:left w:w="108" w:type="dxa"/>
            <w:bottom w:w="0" w:type="dxa"/>
            <w:right w:w="108" w:type="dxa"/>
          </w:tblCellMar>
        </w:tblPrEx>
        <w:trPr>
          <w:trHeight w:val="315" w:hRule="atLeast"/>
          <w:jc w:val="center"/>
        </w:trPr>
        <w:tc>
          <w:tcPr>
            <w:tcW w:w="71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w:t>
            </w:r>
          </w:p>
        </w:tc>
        <w:tc>
          <w:tcPr>
            <w:tcW w:w="2310"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交流接触器</w:t>
            </w:r>
          </w:p>
        </w:tc>
        <w:tc>
          <w:tcPr>
            <w:tcW w:w="3097"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LC1-D0610</w:t>
            </w:r>
          </w:p>
        </w:tc>
        <w:tc>
          <w:tcPr>
            <w:tcW w:w="799"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eastAsia="宋体" w:cs="宋体"/>
                <w:color w:val="000000"/>
                <w:kern w:val="0"/>
                <w:sz w:val="22"/>
                <w:lang w:eastAsia="zh-CN"/>
              </w:rPr>
            </w:pPr>
            <w:r>
              <w:rPr>
                <w:rFonts w:hint="eastAsia" w:ascii="宋体" w:hAnsi="宋体" w:cs="宋体"/>
                <w:color w:val="000000"/>
                <w:kern w:val="0"/>
                <w:sz w:val="22"/>
                <w:lang w:eastAsia="zh-CN"/>
              </w:rPr>
              <w:t>施耐德</w:t>
            </w: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2</w:t>
            </w:r>
          </w:p>
        </w:tc>
        <w:tc>
          <w:tcPr>
            <w:tcW w:w="2310" w:type="dxa"/>
            <w:vMerge w:val="restart"/>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交流可逆接触器</w:t>
            </w: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p>
        </w:tc>
        <w:tc>
          <w:tcPr>
            <w:tcW w:w="1331"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eastAsia="宋体" w:cs="宋体"/>
                <w:color w:val="000000"/>
                <w:kern w:val="0"/>
                <w:sz w:val="22"/>
                <w:lang w:eastAsia="zh-CN"/>
              </w:rPr>
            </w:pPr>
            <w:r>
              <w:rPr>
                <w:rFonts w:hint="eastAsia" w:ascii="宋体" w:hAnsi="宋体" w:cs="宋体"/>
                <w:color w:val="000000"/>
                <w:kern w:val="0"/>
                <w:sz w:val="22"/>
                <w:lang w:eastAsia="zh-CN"/>
              </w:rPr>
              <w:t>施耐德</w:t>
            </w: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3</w:t>
            </w:r>
          </w:p>
        </w:tc>
        <w:tc>
          <w:tcPr>
            <w:tcW w:w="2310" w:type="dxa"/>
            <w:vMerge w:val="continue"/>
            <w:tcBorders>
              <w:top w:val="nil"/>
              <w:left w:val="single" w:color="auto" w:sz="4" w:space="0"/>
              <w:bottom w:val="single" w:color="auto" w:sz="4" w:space="0"/>
              <w:right w:val="single" w:color="auto" w:sz="4" w:space="0"/>
            </w:tcBorders>
            <w:shd w:val="clear" w:color="auto" w:fill="auto"/>
            <w:noWrap w:val="0"/>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LC1-D0901</w:t>
            </w: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eastAsia="宋体" w:cs="宋体"/>
                <w:color w:val="000000"/>
                <w:kern w:val="0"/>
                <w:sz w:val="22"/>
                <w:lang w:eastAsia="zh-CN"/>
              </w:rPr>
            </w:pPr>
            <w:r>
              <w:rPr>
                <w:rFonts w:hint="eastAsia" w:ascii="宋体" w:hAnsi="宋体" w:cs="宋体"/>
                <w:color w:val="000000"/>
                <w:kern w:val="0"/>
                <w:sz w:val="22"/>
                <w:lang w:eastAsia="zh-CN"/>
              </w:rPr>
              <w:t>施耐德</w:t>
            </w: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4</w:t>
            </w:r>
          </w:p>
        </w:tc>
        <w:tc>
          <w:tcPr>
            <w:tcW w:w="231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交流接触器（升降）</w:t>
            </w: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LC1-D0910</w:t>
            </w: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eastAsia="宋体" w:cs="宋体"/>
                <w:color w:val="000000"/>
                <w:kern w:val="0"/>
                <w:sz w:val="22"/>
                <w:lang w:eastAsia="zh-CN"/>
              </w:rPr>
            </w:pPr>
            <w:r>
              <w:rPr>
                <w:rFonts w:hint="eastAsia" w:ascii="宋体" w:hAnsi="宋体" w:cs="宋体"/>
                <w:color w:val="000000"/>
                <w:kern w:val="0"/>
                <w:sz w:val="22"/>
                <w:lang w:eastAsia="zh-CN"/>
              </w:rPr>
              <w:t>施耐德</w:t>
            </w:r>
          </w:p>
        </w:tc>
      </w:tr>
      <w:tr>
        <w:tblPrEx>
          <w:tblCellMar>
            <w:top w:w="0" w:type="dxa"/>
            <w:left w:w="108" w:type="dxa"/>
            <w:bottom w:w="0" w:type="dxa"/>
            <w:right w:w="108" w:type="dxa"/>
          </w:tblCellMar>
        </w:tblPrEx>
        <w:trPr>
          <w:trHeight w:val="315" w:hRule="atLeast"/>
          <w:jc w:val="center"/>
        </w:trPr>
        <w:tc>
          <w:tcPr>
            <w:tcW w:w="71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5</w:t>
            </w:r>
          </w:p>
        </w:tc>
        <w:tc>
          <w:tcPr>
            <w:tcW w:w="231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热继电器</w:t>
            </w:r>
          </w:p>
        </w:tc>
        <w:tc>
          <w:tcPr>
            <w:tcW w:w="309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LR2-D10KN(4-6A)</w:t>
            </w:r>
          </w:p>
        </w:tc>
        <w:tc>
          <w:tcPr>
            <w:tcW w:w="799"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eastAsia="宋体" w:cs="宋体"/>
                <w:color w:val="000000"/>
                <w:kern w:val="0"/>
                <w:sz w:val="22"/>
                <w:lang w:eastAsia="zh-CN"/>
              </w:rPr>
            </w:pPr>
            <w:r>
              <w:rPr>
                <w:rFonts w:hint="eastAsia" w:ascii="宋体" w:hAnsi="宋体" w:cs="宋体"/>
                <w:color w:val="000000"/>
                <w:kern w:val="0"/>
                <w:sz w:val="22"/>
                <w:lang w:eastAsia="zh-CN"/>
              </w:rPr>
              <w:t>施耐德</w:t>
            </w:r>
          </w:p>
        </w:tc>
      </w:tr>
      <w:tr>
        <w:tblPrEx>
          <w:tblCellMar>
            <w:top w:w="0" w:type="dxa"/>
            <w:left w:w="108" w:type="dxa"/>
            <w:bottom w:w="0" w:type="dxa"/>
            <w:right w:w="108" w:type="dxa"/>
          </w:tblCellMar>
        </w:tblPrEx>
        <w:trPr>
          <w:trHeight w:val="315" w:hRule="atLeast"/>
          <w:jc w:val="center"/>
        </w:trPr>
        <w:tc>
          <w:tcPr>
            <w:tcW w:w="71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6</w:t>
            </w:r>
          </w:p>
        </w:tc>
        <w:tc>
          <w:tcPr>
            <w:tcW w:w="2310"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热继电器</w:t>
            </w:r>
          </w:p>
        </w:tc>
        <w:tc>
          <w:tcPr>
            <w:tcW w:w="3097"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LR2-D05KN(0.63-1A)</w:t>
            </w:r>
          </w:p>
        </w:tc>
        <w:tc>
          <w:tcPr>
            <w:tcW w:w="799"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eastAsia="宋体" w:cs="宋体"/>
                <w:color w:val="000000"/>
                <w:kern w:val="0"/>
                <w:sz w:val="22"/>
                <w:lang w:eastAsia="zh-CN"/>
              </w:rPr>
            </w:pPr>
            <w:r>
              <w:rPr>
                <w:rFonts w:hint="eastAsia" w:ascii="宋体" w:hAnsi="宋体" w:cs="宋体"/>
                <w:color w:val="000000"/>
                <w:kern w:val="0"/>
                <w:sz w:val="22"/>
                <w:lang w:eastAsia="zh-CN"/>
              </w:rPr>
              <w:t>施耐德</w:t>
            </w: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7</w:t>
            </w:r>
          </w:p>
        </w:tc>
        <w:tc>
          <w:tcPr>
            <w:tcW w:w="231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中间继电器</w:t>
            </w: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AHN22124</w:t>
            </w: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松下</w:t>
            </w:r>
          </w:p>
        </w:tc>
      </w:tr>
      <w:tr>
        <w:tblPrEx>
          <w:tblCellMar>
            <w:top w:w="0" w:type="dxa"/>
            <w:left w:w="108" w:type="dxa"/>
            <w:bottom w:w="0" w:type="dxa"/>
            <w:right w:w="108" w:type="dxa"/>
          </w:tblCellMar>
        </w:tblPrEx>
        <w:trPr>
          <w:trHeight w:val="315" w:hRule="atLeast"/>
          <w:jc w:val="center"/>
        </w:trPr>
        <w:tc>
          <w:tcPr>
            <w:tcW w:w="71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8</w:t>
            </w:r>
          </w:p>
        </w:tc>
        <w:tc>
          <w:tcPr>
            <w:tcW w:w="231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中间继电器座</w:t>
            </w:r>
          </w:p>
        </w:tc>
        <w:tc>
          <w:tcPr>
            <w:tcW w:w="309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AHNA21</w:t>
            </w:r>
          </w:p>
        </w:tc>
        <w:tc>
          <w:tcPr>
            <w:tcW w:w="799"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松下</w:t>
            </w:r>
          </w:p>
        </w:tc>
      </w:tr>
      <w:tr>
        <w:tblPrEx>
          <w:tblCellMar>
            <w:top w:w="0" w:type="dxa"/>
            <w:left w:w="108" w:type="dxa"/>
            <w:bottom w:w="0" w:type="dxa"/>
            <w:right w:w="108" w:type="dxa"/>
          </w:tblCellMar>
        </w:tblPrEx>
        <w:trPr>
          <w:trHeight w:val="315" w:hRule="atLeast"/>
          <w:jc w:val="center"/>
        </w:trPr>
        <w:tc>
          <w:tcPr>
            <w:tcW w:w="71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9</w:t>
            </w:r>
          </w:p>
        </w:tc>
        <w:tc>
          <w:tcPr>
            <w:tcW w:w="2310"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电源指示灯</w:t>
            </w:r>
          </w:p>
        </w:tc>
        <w:tc>
          <w:tcPr>
            <w:tcW w:w="3097"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XB2-BVM3LC</w:t>
            </w:r>
          </w:p>
        </w:tc>
        <w:tc>
          <w:tcPr>
            <w:tcW w:w="799"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eastAsia="宋体" w:cs="宋体"/>
                <w:color w:val="000000"/>
                <w:kern w:val="0"/>
                <w:sz w:val="22"/>
                <w:lang w:eastAsia="zh-CN"/>
              </w:rPr>
            </w:pPr>
            <w:r>
              <w:rPr>
                <w:rFonts w:hint="eastAsia" w:ascii="宋体" w:hAnsi="宋体" w:cs="宋体"/>
                <w:color w:val="000000"/>
                <w:kern w:val="0"/>
                <w:sz w:val="22"/>
                <w:lang w:eastAsia="zh-CN"/>
              </w:rPr>
              <w:t>施耐德</w:t>
            </w: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10</w:t>
            </w:r>
          </w:p>
        </w:tc>
        <w:tc>
          <w:tcPr>
            <w:tcW w:w="231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蜂鸣器</w:t>
            </w: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TBY-320 220V AC</w:t>
            </w: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eastAsia="宋体" w:cs="宋体"/>
                <w:color w:val="000000"/>
                <w:kern w:val="0"/>
                <w:sz w:val="22"/>
                <w:lang w:eastAsia="zh-CN"/>
              </w:rPr>
            </w:pPr>
            <w:r>
              <w:rPr>
                <w:rFonts w:hint="eastAsia" w:ascii="宋体" w:hAnsi="宋体" w:cs="宋体"/>
                <w:color w:val="000000"/>
                <w:kern w:val="0"/>
                <w:sz w:val="22"/>
              </w:rPr>
              <w:t>天得</w:t>
            </w: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11</w:t>
            </w:r>
          </w:p>
        </w:tc>
        <w:tc>
          <w:tcPr>
            <w:tcW w:w="231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微动开关</w:t>
            </w: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TM-1703(加护套）</w:t>
            </w: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天得</w:t>
            </w: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12</w:t>
            </w:r>
          </w:p>
        </w:tc>
        <w:tc>
          <w:tcPr>
            <w:tcW w:w="231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保护继电器</w:t>
            </w: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kern w:val="0"/>
                <w:sz w:val="22"/>
              </w:rPr>
              <w:t>XJ3-1</w:t>
            </w: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kern w:val="0"/>
                <w:sz w:val="22"/>
              </w:rPr>
              <w:t>个</w:t>
            </w:r>
          </w:p>
        </w:tc>
        <w:tc>
          <w:tcPr>
            <w:tcW w:w="1331"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kern w:val="0"/>
                <w:sz w:val="22"/>
              </w:rPr>
              <w:t>德力西</w:t>
            </w: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13</w:t>
            </w:r>
          </w:p>
        </w:tc>
        <w:tc>
          <w:tcPr>
            <w:tcW w:w="231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整流块</w:t>
            </w: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500V/KBPC5010A</w:t>
            </w: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p>
        </w:tc>
      </w:tr>
      <w:tr>
        <w:tblPrEx>
          <w:tblCellMar>
            <w:top w:w="0" w:type="dxa"/>
            <w:left w:w="108" w:type="dxa"/>
            <w:bottom w:w="0" w:type="dxa"/>
            <w:right w:w="108" w:type="dxa"/>
          </w:tblCellMar>
        </w:tblPrEx>
        <w:trPr>
          <w:trHeight w:val="28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14</w:t>
            </w:r>
          </w:p>
        </w:tc>
        <w:tc>
          <w:tcPr>
            <w:tcW w:w="231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auto"/>
                <w:kern w:val="0"/>
                <w:sz w:val="22"/>
                <w:highlight w:val="none"/>
                <w:shd w:val="clear" w:color="auto" w:fill="auto"/>
              </w:rPr>
            </w:pPr>
            <w:r>
              <w:rPr>
                <w:rFonts w:hint="eastAsia" w:ascii="宋体" w:hAnsi="宋体" w:cs="宋体"/>
                <w:color w:val="000000"/>
                <w:kern w:val="0"/>
                <w:sz w:val="22"/>
              </w:rPr>
              <w:t>电源滤波器</w:t>
            </w:r>
          </w:p>
        </w:tc>
        <w:tc>
          <w:tcPr>
            <w:tcW w:w="3097" w:type="dxa"/>
            <w:tcBorders>
              <w:top w:val="nil"/>
              <w:left w:val="nil"/>
              <w:bottom w:val="single" w:color="auto" w:sz="4" w:space="0"/>
              <w:right w:val="single" w:color="auto" w:sz="4" w:space="0"/>
            </w:tcBorders>
            <w:shd w:val="clear" w:color="000000"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auto"/>
                <w:kern w:val="0"/>
                <w:sz w:val="22"/>
                <w:highlight w:val="none"/>
                <w:shd w:val="clear" w:color="auto" w:fill="auto"/>
              </w:rPr>
            </w:pPr>
            <w:r>
              <w:rPr>
                <w:rFonts w:hint="eastAsia" w:ascii="宋体" w:hAnsi="宋体" w:cs="宋体"/>
                <w:color w:val="000000"/>
                <w:kern w:val="0"/>
                <w:sz w:val="22"/>
              </w:rPr>
              <w:t>250V/50HZ,10A</w:t>
            </w:r>
          </w:p>
        </w:tc>
        <w:tc>
          <w:tcPr>
            <w:tcW w:w="799" w:type="dxa"/>
            <w:tcBorders>
              <w:top w:val="nil"/>
              <w:left w:val="nil"/>
              <w:bottom w:val="single" w:color="auto" w:sz="4" w:space="0"/>
              <w:right w:val="single" w:color="auto" w:sz="4" w:space="0"/>
            </w:tcBorders>
            <w:shd w:val="clear" w:color="000000"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auto"/>
                <w:kern w:val="0"/>
                <w:sz w:val="22"/>
                <w:highlight w:val="none"/>
                <w:shd w:val="clear" w:color="auto" w:fill="auto"/>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000000"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auto"/>
                <w:kern w:val="0"/>
                <w:sz w:val="22"/>
                <w:highlight w:val="none"/>
                <w:shd w:val="clear" w:color="auto" w:fill="auto"/>
              </w:rPr>
            </w:pP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15</w:t>
            </w:r>
          </w:p>
        </w:tc>
        <w:tc>
          <w:tcPr>
            <w:tcW w:w="231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U型环</w:t>
            </w: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p>
        </w:tc>
      </w:tr>
      <w:tr>
        <w:tblPrEx>
          <w:tblCellMar>
            <w:top w:w="0" w:type="dxa"/>
            <w:left w:w="108" w:type="dxa"/>
            <w:bottom w:w="0" w:type="dxa"/>
            <w:right w:w="108" w:type="dxa"/>
          </w:tblCellMar>
        </w:tblPrEx>
        <w:trPr>
          <w:trHeight w:val="315" w:hRule="atLeast"/>
          <w:jc w:val="center"/>
        </w:trPr>
        <w:tc>
          <w:tcPr>
            <w:tcW w:w="71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16</w:t>
            </w:r>
          </w:p>
        </w:tc>
        <w:tc>
          <w:tcPr>
            <w:tcW w:w="231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轴承</w:t>
            </w:r>
          </w:p>
        </w:tc>
        <w:tc>
          <w:tcPr>
            <w:tcW w:w="3097"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UCP211</w:t>
            </w:r>
          </w:p>
        </w:tc>
        <w:tc>
          <w:tcPr>
            <w:tcW w:w="799"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p>
        </w:tc>
      </w:tr>
      <w:tr>
        <w:tblPrEx>
          <w:tblCellMar>
            <w:top w:w="0" w:type="dxa"/>
            <w:left w:w="108" w:type="dxa"/>
            <w:bottom w:w="0" w:type="dxa"/>
            <w:right w:w="108" w:type="dxa"/>
          </w:tblCellMar>
        </w:tblPrEx>
        <w:trPr>
          <w:trHeight w:val="315" w:hRule="atLeast"/>
          <w:jc w:val="center"/>
        </w:trPr>
        <w:tc>
          <w:tcPr>
            <w:tcW w:w="713"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17</w:t>
            </w:r>
          </w:p>
        </w:tc>
        <w:tc>
          <w:tcPr>
            <w:tcW w:w="2310"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轴承</w:t>
            </w:r>
          </w:p>
        </w:tc>
        <w:tc>
          <w:tcPr>
            <w:tcW w:w="3097"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UCP205</w:t>
            </w:r>
          </w:p>
        </w:tc>
        <w:tc>
          <w:tcPr>
            <w:tcW w:w="799"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18</w:t>
            </w:r>
          </w:p>
        </w:tc>
        <w:tc>
          <w:tcPr>
            <w:tcW w:w="231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轴承</w:t>
            </w: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UPC206</w:t>
            </w: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000000"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19</w:t>
            </w:r>
          </w:p>
        </w:tc>
        <w:tc>
          <w:tcPr>
            <w:tcW w:w="231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轴承</w:t>
            </w: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6006</w:t>
            </w: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000000"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20</w:t>
            </w:r>
          </w:p>
        </w:tc>
        <w:tc>
          <w:tcPr>
            <w:tcW w:w="231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橡胶垫</w:t>
            </w: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黑色长方块</w:t>
            </w: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块</w:t>
            </w:r>
          </w:p>
        </w:tc>
        <w:tc>
          <w:tcPr>
            <w:tcW w:w="1331" w:type="dxa"/>
            <w:tcBorders>
              <w:top w:val="nil"/>
              <w:left w:val="nil"/>
              <w:bottom w:val="single" w:color="auto" w:sz="4" w:space="0"/>
              <w:right w:val="single" w:color="auto" w:sz="4" w:space="0"/>
            </w:tcBorders>
            <w:shd w:val="clear" w:color="000000"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21</w:t>
            </w:r>
          </w:p>
        </w:tc>
        <w:tc>
          <w:tcPr>
            <w:tcW w:w="231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光电开关支架</w:t>
            </w: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MS-NX5-1</w:t>
            </w: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佳乐</w:t>
            </w: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22</w:t>
            </w:r>
          </w:p>
        </w:tc>
        <w:tc>
          <w:tcPr>
            <w:tcW w:w="231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行程开关</w:t>
            </w: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AZ8108</w:t>
            </w: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松下</w:t>
            </w: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23</w:t>
            </w:r>
          </w:p>
        </w:tc>
        <w:tc>
          <w:tcPr>
            <w:tcW w:w="231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接近开关</w:t>
            </w: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GL-18HLB</w:t>
            </w: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神视</w:t>
            </w: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24</w:t>
            </w:r>
          </w:p>
        </w:tc>
        <w:tc>
          <w:tcPr>
            <w:tcW w:w="231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紧急开关</w:t>
            </w: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XB2-BS54C</w:t>
            </w: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eastAsia="宋体" w:cs="宋体"/>
                <w:color w:val="000000"/>
                <w:kern w:val="0"/>
                <w:sz w:val="22"/>
                <w:lang w:eastAsia="zh-CN"/>
              </w:rPr>
            </w:pPr>
            <w:r>
              <w:rPr>
                <w:rFonts w:hint="eastAsia" w:ascii="宋体" w:hAnsi="宋体" w:cs="宋体"/>
                <w:color w:val="000000"/>
                <w:kern w:val="0"/>
                <w:sz w:val="22"/>
                <w:lang w:eastAsia="zh-CN"/>
              </w:rPr>
              <w:t>施耐德</w:t>
            </w: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25</w:t>
            </w:r>
          </w:p>
        </w:tc>
        <w:tc>
          <w:tcPr>
            <w:tcW w:w="231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紧急开关座</w:t>
            </w: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BZ102C</w:t>
            </w: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eastAsia="宋体" w:cs="宋体"/>
                <w:color w:val="000000"/>
                <w:kern w:val="0"/>
                <w:sz w:val="22"/>
                <w:lang w:eastAsia="zh-CN"/>
              </w:rPr>
            </w:pPr>
            <w:r>
              <w:rPr>
                <w:rFonts w:hint="eastAsia" w:ascii="宋体" w:hAnsi="宋体" w:cs="宋体"/>
                <w:color w:val="000000"/>
                <w:kern w:val="0"/>
                <w:sz w:val="22"/>
                <w:lang w:eastAsia="zh-CN"/>
              </w:rPr>
              <w:t>施耐德</w:t>
            </w: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26</w:t>
            </w:r>
          </w:p>
        </w:tc>
        <w:tc>
          <w:tcPr>
            <w:tcW w:w="231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钥匙开关</w:t>
            </w: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000000"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eastAsia="宋体" w:cs="宋体"/>
                <w:color w:val="000000"/>
                <w:kern w:val="0"/>
                <w:sz w:val="22"/>
                <w:lang w:eastAsia="zh-CN"/>
              </w:rPr>
            </w:pPr>
            <w:r>
              <w:rPr>
                <w:rFonts w:hint="eastAsia" w:ascii="宋体" w:hAnsi="宋体" w:cs="宋体"/>
                <w:color w:val="000000"/>
                <w:kern w:val="0"/>
                <w:sz w:val="22"/>
                <w:lang w:eastAsia="zh-CN"/>
              </w:rPr>
              <w:t>施耐德</w:t>
            </w: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27</w:t>
            </w:r>
          </w:p>
        </w:tc>
        <w:tc>
          <w:tcPr>
            <w:tcW w:w="2310" w:type="dxa"/>
            <w:vMerge w:val="restart"/>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接线端子</w:t>
            </w: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TBRN-10</w:t>
            </w: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28</w:t>
            </w:r>
          </w:p>
        </w:tc>
        <w:tc>
          <w:tcPr>
            <w:tcW w:w="2310" w:type="dxa"/>
            <w:vMerge w:val="continue"/>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TBR-F</w:t>
            </w: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29</w:t>
            </w:r>
          </w:p>
        </w:tc>
        <w:tc>
          <w:tcPr>
            <w:tcW w:w="231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保险座</w:t>
            </w: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TFBR-101</w:t>
            </w: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天得</w:t>
            </w: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30</w:t>
            </w:r>
          </w:p>
        </w:tc>
        <w:tc>
          <w:tcPr>
            <w:tcW w:w="231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带灯保险盖</w:t>
            </w: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TFB-101N</w:t>
            </w: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eastAsia="宋体" w:cs="宋体"/>
                <w:color w:val="000000"/>
                <w:kern w:val="0"/>
                <w:sz w:val="22"/>
                <w:lang w:eastAsia="zh-CN"/>
              </w:rPr>
            </w:pPr>
            <w:r>
              <w:rPr>
                <w:rFonts w:hint="eastAsia" w:ascii="宋体" w:hAnsi="宋体" w:cs="宋体"/>
                <w:color w:val="000000"/>
                <w:kern w:val="0"/>
                <w:sz w:val="22"/>
              </w:rPr>
              <w:t>天得</w:t>
            </w: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31</w:t>
            </w:r>
          </w:p>
        </w:tc>
        <w:tc>
          <w:tcPr>
            <w:tcW w:w="231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保险管</w:t>
            </w: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2A</w:t>
            </w: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天得</w:t>
            </w: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32</w:t>
            </w:r>
          </w:p>
        </w:tc>
        <w:tc>
          <w:tcPr>
            <w:tcW w:w="231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保险管</w:t>
            </w:r>
          </w:p>
        </w:tc>
        <w:tc>
          <w:tcPr>
            <w:tcW w:w="3097"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10A</w:t>
            </w:r>
          </w:p>
        </w:tc>
        <w:tc>
          <w:tcPr>
            <w:tcW w:w="799"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天得</w:t>
            </w:r>
          </w:p>
        </w:tc>
      </w:tr>
      <w:tr>
        <w:tblPrEx>
          <w:tblCellMar>
            <w:top w:w="0" w:type="dxa"/>
            <w:left w:w="108" w:type="dxa"/>
            <w:bottom w:w="0" w:type="dxa"/>
            <w:right w:w="108" w:type="dxa"/>
          </w:tblCellMar>
        </w:tblPrEx>
        <w:trPr>
          <w:trHeight w:val="315" w:hRule="atLeast"/>
          <w:jc w:val="center"/>
        </w:trPr>
        <w:tc>
          <w:tcPr>
            <w:tcW w:w="713"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33</w:t>
            </w:r>
          </w:p>
        </w:tc>
        <w:tc>
          <w:tcPr>
            <w:tcW w:w="2310" w:type="dxa"/>
            <w:tcBorders>
              <w:top w:val="nil"/>
              <w:left w:val="nil"/>
              <w:bottom w:val="single" w:color="auto" w:sz="4" w:space="0"/>
              <w:right w:val="single" w:color="auto" w:sz="4" w:space="0"/>
            </w:tcBorders>
            <w:shd w:val="clear" w:color="000000"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单孔旋钮盒</w:t>
            </w:r>
          </w:p>
        </w:tc>
        <w:tc>
          <w:tcPr>
            <w:tcW w:w="3097" w:type="dxa"/>
            <w:tcBorders>
              <w:top w:val="nil"/>
              <w:left w:val="nil"/>
              <w:bottom w:val="single" w:color="auto" w:sz="4" w:space="0"/>
              <w:right w:val="single" w:color="auto" w:sz="4" w:space="0"/>
            </w:tcBorders>
            <w:shd w:val="clear" w:color="000000"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CA-BX1-22</w:t>
            </w:r>
          </w:p>
        </w:tc>
        <w:tc>
          <w:tcPr>
            <w:tcW w:w="799" w:type="dxa"/>
            <w:tcBorders>
              <w:top w:val="nil"/>
              <w:left w:val="nil"/>
              <w:bottom w:val="single" w:color="auto" w:sz="4" w:space="0"/>
              <w:right w:val="single" w:color="auto" w:sz="4" w:space="0"/>
            </w:tcBorders>
            <w:shd w:val="clear" w:color="000000"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331" w:type="dxa"/>
            <w:tcBorders>
              <w:top w:val="nil"/>
              <w:left w:val="nil"/>
              <w:bottom w:val="single" w:color="auto" w:sz="4" w:space="0"/>
              <w:right w:val="single" w:color="auto" w:sz="4" w:space="0"/>
            </w:tcBorders>
            <w:shd w:val="clear" w:color="000000"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国产</w:t>
            </w:r>
          </w:p>
        </w:tc>
      </w:tr>
    </w:tbl>
    <w:p>
      <w:pPr>
        <w:keepNext w:val="0"/>
        <w:keepLines w:val="0"/>
        <w:pageBreakBefore w:val="0"/>
        <w:widowControl/>
        <w:kinsoku/>
        <w:wordWrap/>
        <w:overflowPunct/>
        <w:topLinePunct w:val="0"/>
        <w:bidi w:val="0"/>
        <w:adjustRightInd w:val="0"/>
        <w:snapToGrid w:val="0"/>
        <w:spacing w:line="400" w:lineRule="exact"/>
        <w:ind w:left="0" w:leftChars="0" w:right="0" w:firstLine="420" w:firstLineChars="200"/>
        <w:jc w:val="left"/>
        <w:outlineLvl w:val="9"/>
        <w:rPr>
          <w:rFonts w:hint="default"/>
          <w:bCs/>
          <w:lang w:val="en-US" w:eastAsia="zh-CN"/>
        </w:rPr>
      </w:pPr>
      <w:r>
        <w:rPr>
          <w:rFonts w:hint="eastAsia"/>
          <w:bCs/>
          <w:lang w:eastAsia="zh-CN"/>
        </w:rPr>
        <w:t>②</w:t>
      </w:r>
      <w:r>
        <w:rPr>
          <w:rFonts w:hint="eastAsia"/>
          <w:bCs/>
          <w:lang w:val="en-US" w:eastAsia="zh-CN"/>
        </w:rPr>
        <w:t>以下配件需提供报价：</w:t>
      </w:r>
    </w:p>
    <w:p>
      <w:pPr>
        <w:keepNext w:val="0"/>
        <w:keepLines w:val="0"/>
        <w:pageBreakBefore w:val="0"/>
        <w:kinsoku/>
        <w:wordWrap/>
        <w:overflowPunct/>
        <w:topLinePunct w:val="0"/>
        <w:bidi w:val="0"/>
        <w:adjustRightInd w:val="0"/>
        <w:snapToGrid w:val="0"/>
        <w:spacing w:line="400" w:lineRule="exact"/>
        <w:ind w:right="0"/>
        <w:jc w:val="center"/>
        <w:outlineLvl w:val="9"/>
        <w:rPr>
          <w:rFonts w:eastAsia="黑体"/>
          <w:sz w:val="30"/>
          <w:szCs w:val="20"/>
        </w:rPr>
      </w:pPr>
      <w:r>
        <w:rPr>
          <w:rFonts w:hint="eastAsia" w:eastAsia="黑体"/>
          <w:sz w:val="30"/>
          <w:szCs w:val="20"/>
        </w:rPr>
        <w:t>备品、备件价格一览表</w:t>
      </w:r>
    </w:p>
    <w:p>
      <w:pPr>
        <w:keepNext w:val="0"/>
        <w:keepLines w:val="0"/>
        <w:pageBreakBefore w:val="0"/>
        <w:kinsoku/>
        <w:wordWrap/>
        <w:overflowPunct/>
        <w:topLinePunct w:val="0"/>
        <w:bidi w:val="0"/>
        <w:adjustRightInd w:val="0"/>
        <w:snapToGrid w:val="0"/>
        <w:spacing w:line="400" w:lineRule="exact"/>
        <w:ind w:left="0" w:leftChars="0" w:right="0" w:firstLine="560" w:firstLineChars="200"/>
        <w:jc w:val="right"/>
        <w:outlineLvl w:val="9"/>
        <w:rPr>
          <w:rFonts w:ascii="黑体" w:hAnsi="宋体" w:eastAsia="黑体"/>
          <w:color w:val="000000"/>
          <w:sz w:val="28"/>
          <w:szCs w:val="28"/>
        </w:rPr>
      </w:pPr>
      <w:r>
        <w:rPr>
          <w:rFonts w:hint="eastAsia" w:ascii="黑体" w:hAnsi="宋体" w:eastAsia="黑体"/>
          <w:color w:val="000000"/>
          <w:sz w:val="28"/>
          <w:szCs w:val="28"/>
        </w:rPr>
        <w:t>单</w:t>
      </w:r>
      <w:r>
        <w:rPr>
          <w:rFonts w:hint="eastAsia" w:ascii="黑体" w:hAnsi="宋体" w:eastAsia="黑体"/>
          <w:color w:val="000000"/>
          <w:sz w:val="28"/>
          <w:szCs w:val="28"/>
          <w:lang w:eastAsia="zh-CN"/>
        </w:rPr>
        <w:t>价</w:t>
      </w:r>
      <w:r>
        <w:rPr>
          <w:rFonts w:hint="eastAsia" w:ascii="黑体" w:hAnsi="宋体" w:eastAsia="黑体"/>
          <w:color w:val="000000"/>
          <w:sz w:val="28"/>
          <w:szCs w:val="28"/>
        </w:rPr>
        <w:t>：元（人民币）</w:t>
      </w:r>
    </w:p>
    <w:tbl>
      <w:tblPr>
        <w:tblStyle w:val="9"/>
        <w:tblW w:w="8250" w:type="dxa"/>
        <w:tblInd w:w="162" w:type="dxa"/>
        <w:tblLayout w:type="fixed"/>
        <w:tblCellMar>
          <w:top w:w="0" w:type="dxa"/>
          <w:left w:w="108" w:type="dxa"/>
          <w:bottom w:w="0" w:type="dxa"/>
          <w:right w:w="108" w:type="dxa"/>
        </w:tblCellMar>
      </w:tblPr>
      <w:tblGrid>
        <w:gridCol w:w="675"/>
        <w:gridCol w:w="1680"/>
        <w:gridCol w:w="2385"/>
        <w:gridCol w:w="765"/>
        <w:gridCol w:w="1650"/>
        <w:gridCol w:w="1095"/>
      </w:tblGrid>
      <w:tr>
        <w:tblPrEx>
          <w:tblCellMar>
            <w:top w:w="0" w:type="dxa"/>
            <w:left w:w="108" w:type="dxa"/>
            <w:bottom w:w="0" w:type="dxa"/>
            <w:right w:w="108" w:type="dxa"/>
          </w:tblCellMar>
        </w:tblPrEx>
        <w:trPr>
          <w:trHeight w:val="390" w:hRule="atLeast"/>
        </w:trPr>
        <w:tc>
          <w:tcPr>
            <w:tcW w:w="6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b/>
                <w:bCs/>
                <w:color w:val="000000"/>
                <w:kern w:val="0"/>
                <w:sz w:val="22"/>
              </w:rPr>
            </w:pPr>
            <w:r>
              <w:rPr>
                <w:rFonts w:hint="eastAsia" w:ascii="宋体" w:hAnsi="宋体" w:cs="宋体"/>
                <w:b/>
                <w:bCs/>
                <w:color w:val="000000"/>
                <w:kern w:val="0"/>
                <w:sz w:val="22"/>
              </w:rPr>
              <w:t>序号</w:t>
            </w:r>
          </w:p>
        </w:tc>
        <w:tc>
          <w:tcPr>
            <w:tcW w:w="16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b/>
                <w:bCs/>
                <w:color w:val="000000"/>
                <w:kern w:val="0"/>
                <w:sz w:val="22"/>
              </w:rPr>
            </w:pPr>
            <w:r>
              <w:rPr>
                <w:rFonts w:hint="eastAsia" w:ascii="宋体" w:hAnsi="宋体" w:cs="宋体"/>
                <w:b/>
                <w:bCs/>
                <w:color w:val="000000"/>
                <w:kern w:val="0"/>
                <w:sz w:val="22"/>
              </w:rPr>
              <w:t>器件名称</w:t>
            </w:r>
          </w:p>
        </w:tc>
        <w:tc>
          <w:tcPr>
            <w:tcW w:w="238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b/>
                <w:bCs/>
                <w:color w:val="000000"/>
                <w:kern w:val="0"/>
                <w:sz w:val="22"/>
              </w:rPr>
            </w:pPr>
            <w:r>
              <w:rPr>
                <w:rFonts w:hint="eastAsia" w:ascii="宋体" w:hAnsi="宋体" w:cs="宋体"/>
                <w:b/>
                <w:bCs/>
                <w:color w:val="000000"/>
                <w:kern w:val="0"/>
                <w:sz w:val="22"/>
              </w:rPr>
              <w:t>器件型号</w:t>
            </w:r>
          </w:p>
        </w:tc>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b/>
                <w:bCs/>
                <w:color w:val="000000"/>
                <w:kern w:val="0"/>
                <w:sz w:val="22"/>
              </w:rPr>
            </w:pPr>
            <w:r>
              <w:rPr>
                <w:rFonts w:hint="eastAsia" w:ascii="宋体" w:hAnsi="宋体" w:cs="宋体"/>
                <w:b/>
                <w:bCs/>
                <w:color w:val="000000"/>
                <w:kern w:val="0"/>
                <w:sz w:val="22"/>
              </w:rPr>
              <w:t>单位</w:t>
            </w:r>
          </w:p>
        </w:tc>
        <w:tc>
          <w:tcPr>
            <w:tcW w:w="165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b/>
                <w:bCs/>
                <w:color w:val="000000"/>
                <w:kern w:val="0"/>
                <w:sz w:val="22"/>
              </w:rPr>
            </w:pPr>
            <w:r>
              <w:rPr>
                <w:rFonts w:hint="eastAsia" w:ascii="宋体" w:hAnsi="宋体" w:cs="宋体"/>
                <w:b/>
                <w:bCs/>
                <w:color w:val="000000"/>
                <w:kern w:val="0"/>
                <w:sz w:val="22"/>
              </w:rPr>
              <w:t>品牌</w:t>
            </w:r>
          </w:p>
        </w:tc>
        <w:tc>
          <w:tcPr>
            <w:tcW w:w="109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eastAsia="宋体" w:cs="宋体"/>
                <w:b/>
                <w:bCs/>
                <w:color w:val="000000"/>
                <w:kern w:val="0"/>
                <w:sz w:val="22"/>
                <w:lang w:eastAsia="zh-CN"/>
              </w:rPr>
            </w:pPr>
            <w:r>
              <w:rPr>
                <w:rFonts w:hint="eastAsia" w:ascii="宋体" w:hAnsi="宋体" w:cs="宋体"/>
                <w:b/>
                <w:bCs/>
                <w:color w:val="000000"/>
                <w:kern w:val="0"/>
                <w:sz w:val="22"/>
                <w:lang w:eastAsia="zh-CN"/>
              </w:rPr>
              <w:t>单价</w:t>
            </w:r>
          </w:p>
        </w:tc>
      </w:tr>
      <w:tr>
        <w:tblPrEx>
          <w:tblCellMar>
            <w:top w:w="0" w:type="dxa"/>
            <w:left w:w="108" w:type="dxa"/>
            <w:bottom w:w="0" w:type="dxa"/>
            <w:right w:w="108" w:type="dxa"/>
          </w:tblCellMar>
        </w:tblPrEx>
        <w:trPr>
          <w:trHeight w:val="315" w:hRule="atLeast"/>
        </w:trPr>
        <w:tc>
          <w:tcPr>
            <w:tcW w:w="6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w:t>
            </w:r>
          </w:p>
        </w:tc>
        <w:tc>
          <w:tcPr>
            <w:tcW w:w="1680"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开关电源</w:t>
            </w:r>
          </w:p>
        </w:tc>
        <w:tc>
          <w:tcPr>
            <w:tcW w:w="2385"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S-50-24</w:t>
            </w:r>
          </w:p>
        </w:tc>
        <w:tc>
          <w:tcPr>
            <w:tcW w:w="765"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650"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eastAsia="宋体" w:cs="宋体"/>
                <w:color w:val="000000"/>
                <w:kern w:val="0"/>
                <w:sz w:val="22"/>
                <w:lang w:eastAsia="zh-CN"/>
              </w:rPr>
            </w:pPr>
            <w:r>
              <w:rPr>
                <w:rFonts w:hint="eastAsia" w:ascii="宋体" w:hAnsi="宋体" w:cs="宋体"/>
                <w:color w:val="000000"/>
                <w:kern w:val="0"/>
                <w:sz w:val="22"/>
              </w:rPr>
              <w:t>台湾明纬</w:t>
            </w:r>
          </w:p>
        </w:tc>
        <w:tc>
          <w:tcPr>
            <w:tcW w:w="1095"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cs="宋体"/>
                <w:color w:val="000000"/>
                <w:kern w:val="0"/>
                <w:sz w:val="22"/>
              </w:rPr>
            </w:pPr>
          </w:p>
        </w:tc>
      </w:tr>
      <w:tr>
        <w:tblPrEx>
          <w:tblCellMar>
            <w:top w:w="0" w:type="dxa"/>
            <w:left w:w="108" w:type="dxa"/>
            <w:bottom w:w="0" w:type="dxa"/>
            <w:right w:w="108" w:type="dxa"/>
          </w:tblCellMar>
        </w:tblPrEx>
        <w:trPr>
          <w:trHeight w:val="315" w:hRule="atLeast"/>
        </w:trPr>
        <w:tc>
          <w:tcPr>
            <w:tcW w:w="675"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2</w:t>
            </w:r>
          </w:p>
        </w:tc>
        <w:tc>
          <w:tcPr>
            <w:tcW w:w="1680"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旋转灯</w:t>
            </w:r>
          </w:p>
        </w:tc>
        <w:tc>
          <w:tcPr>
            <w:tcW w:w="238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TRM-220-R</w:t>
            </w:r>
          </w:p>
        </w:tc>
        <w:tc>
          <w:tcPr>
            <w:tcW w:w="76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65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eastAsia="宋体" w:cs="宋体"/>
                <w:color w:val="000000"/>
                <w:kern w:val="0"/>
                <w:sz w:val="22"/>
                <w:lang w:eastAsia="zh-CN"/>
              </w:rPr>
            </w:pPr>
            <w:r>
              <w:rPr>
                <w:rFonts w:hint="eastAsia" w:ascii="宋体" w:hAnsi="宋体" w:cs="宋体"/>
                <w:color w:val="000000"/>
                <w:kern w:val="0"/>
                <w:sz w:val="22"/>
              </w:rPr>
              <w:t>国产</w:t>
            </w:r>
          </w:p>
        </w:tc>
        <w:tc>
          <w:tcPr>
            <w:tcW w:w="109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cs="宋体"/>
                <w:color w:val="000000"/>
                <w:kern w:val="0"/>
                <w:sz w:val="22"/>
              </w:rPr>
            </w:pPr>
          </w:p>
        </w:tc>
      </w:tr>
      <w:tr>
        <w:tblPrEx>
          <w:tblCellMar>
            <w:top w:w="0" w:type="dxa"/>
            <w:left w:w="108" w:type="dxa"/>
            <w:bottom w:w="0" w:type="dxa"/>
            <w:right w:w="108" w:type="dxa"/>
          </w:tblCellMar>
        </w:tblPrEx>
        <w:trPr>
          <w:trHeight w:val="315" w:hRule="atLeast"/>
        </w:trPr>
        <w:tc>
          <w:tcPr>
            <w:tcW w:w="675"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3</w:t>
            </w:r>
          </w:p>
        </w:tc>
        <w:tc>
          <w:tcPr>
            <w:tcW w:w="1680" w:type="dxa"/>
            <w:tcBorders>
              <w:top w:val="nil"/>
              <w:left w:val="single" w:color="auto" w:sz="4" w:space="0"/>
              <w:bottom w:val="single" w:color="auto" w:sz="4" w:space="0"/>
              <w:right w:val="single" w:color="auto" w:sz="4" w:space="0"/>
            </w:tcBorders>
            <w:shd w:val="clear" w:color="auto" w:fill="auto"/>
            <w:noWrap w:val="0"/>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交流接触器</w:t>
            </w:r>
          </w:p>
        </w:tc>
        <w:tc>
          <w:tcPr>
            <w:tcW w:w="238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LC1-D1810M5N</w:t>
            </w:r>
          </w:p>
        </w:tc>
        <w:tc>
          <w:tcPr>
            <w:tcW w:w="76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65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eastAsia="宋体" w:cs="宋体"/>
                <w:color w:val="000000"/>
                <w:kern w:val="0"/>
                <w:sz w:val="22"/>
                <w:lang w:eastAsia="zh-CN"/>
              </w:rPr>
            </w:pPr>
            <w:r>
              <w:rPr>
                <w:rFonts w:hint="eastAsia" w:ascii="宋体" w:hAnsi="宋体" w:cs="宋体"/>
                <w:color w:val="000000"/>
                <w:kern w:val="0"/>
                <w:sz w:val="22"/>
                <w:lang w:eastAsia="zh-CN"/>
              </w:rPr>
              <w:t>施耐德</w:t>
            </w:r>
          </w:p>
        </w:tc>
        <w:tc>
          <w:tcPr>
            <w:tcW w:w="109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cs="宋体"/>
                <w:color w:val="000000"/>
                <w:kern w:val="0"/>
                <w:sz w:val="22"/>
              </w:rPr>
            </w:pPr>
          </w:p>
        </w:tc>
      </w:tr>
      <w:tr>
        <w:tblPrEx>
          <w:tblCellMar>
            <w:top w:w="0" w:type="dxa"/>
            <w:left w:w="108" w:type="dxa"/>
            <w:bottom w:w="0" w:type="dxa"/>
            <w:right w:w="108" w:type="dxa"/>
          </w:tblCellMar>
        </w:tblPrEx>
        <w:trPr>
          <w:trHeight w:val="315" w:hRule="atLeast"/>
        </w:trPr>
        <w:tc>
          <w:tcPr>
            <w:tcW w:w="675"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4</w:t>
            </w:r>
          </w:p>
        </w:tc>
        <w:tc>
          <w:tcPr>
            <w:tcW w:w="168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可编程控制器</w:t>
            </w:r>
          </w:p>
        </w:tc>
        <w:tc>
          <w:tcPr>
            <w:tcW w:w="238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TM-218  60DR</w:t>
            </w:r>
          </w:p>
        </w:tc>
        <w:tc>
          <w:tcPr>
            <w:tcW w:w="76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65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eastAsia="宋体" w:cs="宋体"/>
                <w:color w:val="000000"/>
                <w:kern w:val="0"/>
                <w:sz w:val="22"/>
                <w:lang w:eastAsia="zh-CN"/>
              </w:rPr>
            </w:pPr>
            <w:r>
              <w:rPr>
                <w:rFonts w:hint="eastAsia" w:ascii="宋体" w:hAnsi="宋体" w:cs="宋体"/>
                <w:color w:val="000000"/>
                <w:kern w:val="0"/>
                <w:sz w:val="22"/>
                <w:lang w:eastAsia="zh-CN"/>
              </w:rPr>
              <w:t>施耐德</w:t>
            </w:r>
          </w:p>
        </w:tc>
        <w:tc>
          <w:tcPr>
            <w:tcW w:w="109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cs="宋体"/>
                <w:color w:val="000000"/>
                <w:kern w:val="0"/>
                <w:sz w:val="22"/>
              </w:rPr>
            </w:pPr>
          </w:p>
        </w:tc>
      </w:tr>
      <w:tr>
        <w:tblPrEx>
          <w:tblCellMar>
            <w:top w:w="0" w:type="dxa"/>
            <w:left w:w="108" w:type="dxa"/>
            <w:bottom w:w="0" w:type="dxa"/>
            <w:right w:w="108" w:type="dxa"/>
          </w:tblCellMar>
        </w:tblPrEx>
        <w:trPr>
          <w:trHeight w:val="315" w:hRule="atLeast"/>
        </w:trPr>
        <w:tc>
          <w:tcPr>
            <w:tcW w:w="6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5</w:t>
            </w:r>
          </w:p>
        </w:tc>
        <w:tc>
          <w:tcPr>
            <w:tcW w:w="16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可编程控制器</w:t>
            </w:r>
          </w:p>
        </w:tc>
        <w:tc>
          <w:tcPr>
            <w:tcW w:w="238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TM-218  40DR</w:t>
            </w:r>
          </w:p>
        </w:tc>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65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eastAsia="宋体" w:cs="宋体"/>
                <w:color w:val="000000"/>
                <w:kern w:val="0"/>
                <w:sz w:val="22"/>
                <w:lang w:eastAsia="zh-CN"/>
              </w:rPr>
            </w:pPr>
            <w:r>
              <w:rPr>
                <w:rFonts w:hint="eastAsia" w:ascii="宋体" w:hAnsi="宋体" w:cs="宋体"/>
                <w:color w:val="000000"/>
                <w:kern w:val="0"/>
                <w:sz w:val="22"/>
                <w:lang w:eastAsia="zh-CN"/>
              </w:rPr>
              <w:t>施耐德</w:t>
            </w:r>
          </w:p>
        </w:tc>
        <w:tc>
          <w:tcPr>
            <w:tcW w:w="109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cs="宋体"/>
                <w:color w:val="000000"/>
                <w:kern w:val="0"/>
                <w:sz w:val="22"/>
              </w:rPr>
            </w:pPr>
          </w:p>
        </w:tc>
      </w:tr>
      <w:tr>
        <w:tblPrEx>
          <w:tblCellMar>
            <w:top w:w="0" w:type="dxa"/>
            <w:left w:w="108" w:type="dxa"/>
            <w:bottom w:w="0" w:type="dxa"/>
            <w:right w:w="108" w:type="dxa"/>
          </w:tblCellMar>
        </w:tblPrEx>
        <w:trPr>
          <w:trHeight w:val="315" w:hRule="atLeast"/>
        </w:trPr>
        <w:tc>
          <w:tcPr>
            <w:tcW w:w="6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6</w:t>
            </w:r>
          </w:p>
        </w:tc>
        <w:tc>
          <w:tcPr>
            <w:tcW w:w="1680"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电磁铁</w:t>
            </w:r>
          </w:p>
        </w:tc>
        <w:tc>
          <w:tcPr>
            <w:tcW w:w="2385"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MQZ9 35/20 DC100V</w:t>
            </w:r>
          </w:p>
        </w:tc>
        <w:tc>
          <w:tcPr>
            <w:tcW w:w="765"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650"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eastAsia="宋体" w:cs="宋体"/>
                <w:color w:val="000000"/>
                <w:kern w:val="0"/>
                <w:sz w:val="22"/>
                <w:lang w:eastAsia="zh-CN"/>
              </w:rPr>
            </w:pPr>
            <w:r>
              <w:rPr>
                <w:rFonts w:hint="eastAsia" w:ascii="宋体" w:hAnsi="宋体" w:cs="宋体"/>
                <w:color w:val="000000"/>
                <w:kern w:val="0"/>
                <w:sz w:val="22"/>
              </w:rPr>
              <w:t>无锡明达</w:t>
            </w:r>
          </w:p>
        </w:tc>
        <w:tc>
          <w:tcPr>
            <w:tcW w:w="1095"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cs="宋体"/>
                <w:color w:val="000000"/>
                <w:kern w:val="0"/>
                <w:sz w:val="22"/>
              </w:rPr>
            </w:pPr>
          </w:p>
        </w:tc>
      </w:tr>
      <w:tr>
        <w:tblPrEx>
          <w:tblCellMar>
            <w:top w:w="0" w:type="dxa"/>
            <w:left w:w="108" w:type="dxa"/>
            <w:bottom w:w="0" w:type="dxa"/>
            <w:right w:w="108" w:type="dxa"/>
          </w:tblCellMar>
        </w:tblPrEx>
        <w:trPr>
          <w:trHeight w:val="315" w:hRule="atLeast"/>
        </w:trPr>
        <w:tc>
          <w:tcPr>
            <w:tcW w:w="675"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7</w:t>
            </w:r>
          </w:p>
        </w:tc>
        <w:tc>
          <w:tcPr>
            <w:tcW w:w="168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操作器</w:t>
            </w:r>
          </w:p>
        </w:tc>
        <w:tc>
          <w:tcPr>
            <w:tcW w:w="238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SRK-1</w:t>
            </w:r>
          </w:p>
        </w:tc>
        <w:tc>
          <w:tcPr>
            <w:tcW w:w="76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65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斯瑞克/赛翔</w:t>
            </w:r>
          </w:p>
        </w:tc>
        <w:tc>
          <w:tcPr>
            <w:tcW w:w="109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cs="宋体"/>
                <w:color w:val="000000"/>
                <w:kern w:val="0"/>
                <w:sz w:val="22"/>
              </w:rPr>
            </w:pPr>
          </w:p>
        </w:tc>
      </w:tr>
      <w:tr>
        <w:tblPrEx>
          <w:tblCellMar>
            <w:top w:w="0" w:type="dxa"/>
            <w:left w:w="108" w:type="dxa"/>
            <w:bottom w:w="0" w:type="dxa"/>
            <w:right w:w="108" w:type="dxa"/>
          </w:tblCellMar>
        </w:tblPrEx>
        <w:trPr>
          <w:trHeight w:val="315" w:hRule="atLeast"/>
        </w:trPr>
        <w:tc>
          <w:tcPr>
            <w:tcW w:w="675"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8</w:t>
            </w:r>
          </w:p>
        </w:tc>
        <w:tc>
          <w:tcPr>
            <w:tcW w:w="168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行程开关</w:t>
            </w:r>
          </w:p>
        </w:tc>
        <w:tc>
          <w:tcPr>
            <w:tcW w:w="238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XCE-145</w:t>
            </w:r>
          </w:p>
        </w:tc>
        <w:tc>
          <w:tcPr>
            <w:tcW w:w="76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65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eastAsia="宋体" w:cs="宋体"/>
                <w:color w:val="000000"/>
                <w:kern w:val="0"/>
                <w:sz w:val="22"/>
                <w:lang w:eastAsia="zh-CN"/>
              </w:rPr>
            </w:pPr>
            <w:r>
              <w:rPr>
                <w:rFonts w:hint="eastAsia" w:ascii="宋体" w:hAnsi="宋体" w:cs="宋体"/>
                <w:color w:val="000000"/>
                <w:kern w:val="0"/>
                <w:sz w:val="22"/>
                <w:lang w:eastAsia="zh-CN"/>
              </w:rPr>
              <w:t>施耐德</w:t>
            </w:r>
          </w:p>
        </w:tc>
        <w:tc>
          <w:tcPr>
            <w:tcW w:w="109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cs="宋体"/>
                <w:color w:val="000000"/>
                <w:kern w:val="0"/>
                <w:sz w:val="22"/>
              </w:rPr>
            </w:pPr>
          </w:p>
        </w:tc>
      </w:tr>
      <w:tr>
        <w:tblPrEx>
          <w:tblCellMar>
            <w:top w:w="0" w:type="dxa"/>
            <w:left w:w="108" w:type="dxa"/>
            <w:bottom w:w="0" w:type="dxa"/>
            <w:right w:w="108" w:type="dxa"/>
          </w:tblCellMar>
        </w:tblPrEx>
        <w:trPr>
          <w:trHeight w:val="315" w:hRule="atLeast"/>
        </w:trPr>
        <w:tc>
          <w:tcPr>
            <w:tcW w:w="675"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9</w:t>
            </w:r>
          </w:p>
        </w:tc>
        <w:tc>
          <w:tcPr>
            <w:tcW w:w="168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光电开关</w:t>
            </w:r>
          </w:p>
        </w:tc>
        <w:tc>
          <w:tcPr>
            <w:tcW w:w="238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NX5-M30A</w:t>
            </w:r>
          </w:p>
        </w:tc>
        <w:tc>
          <w:tcPr>
            <w:tcW w:w="76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对</w:t>
            </w:r>
          </w:p>
        </w:tc>
        <w:tc>
          <w:tcPr>
            <w:tcW w:w="165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神视</w:t>
            </w:r>
          </w:p>
        </w:tc>
        <w:tc>
          <w:tcPr>
            <w:tcW w:w="109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cs="宋体"/>
                <w:color w:val="000000"/>
                <w:kern w:val="0"/>
                <w:sz w:val="22"/>
              </w:rPr>
            </w:pPr>
          </w:p>
        </w:tc>
      </w:tr>
      <w:tr>
        <w:tblPrEx>
          <w:tblCellMar>
            <w:top w:w="0" w:type="dxa"/>
            <w:left w:w="108" w:type="dxa"/>
            <w:bottom w:w="0" w:type="dxa"/>
            <w:right w:w="108" w:type="dxa"/>
          </w:tblCellMar>
        </w:tblPrEx>
        <w:trPr>
          <w:trHeight w:val="315" w:hRule="atLeast"/>
        </w:trPr>
        <w:tc>
          <w:tcPr>
            <w:tcW w:w="6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10</w:t>
            </w:r>
          </w:p>
        </w:tc>
        <w:tc>
          <w:tcPr>
            <w:tcW w:w="16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电机整流块</w:t>
            </w:r>
          </w:p>
        </w:tc>
        <w:tc>
          <w:tcPr>
            <w:tcW w:w="238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DC90V</w:t>
            </w:r>
          </w:p>
        </w:tc>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65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eastAsia="宋体" w:cs="宋体"/>
                <w:color w:val="000000"/>
                <w:kern w:val="0"/>
                <w:sz w:val="22"/>
                <w:lang w:eastAsia="zh-CN"/>
              </w:rPr>
            </w:pPr>
            <w:r>
              <w:rPr>
                <w:rFonts w:hint="eastAsia" w:ascii="宋体" w:hAnsi="宋体" w:cs="宋体"/>
                <w:color w:val="000000"/>
                <w:kern w:val="0"/>
                <w:sz w:val="22"/>
              </w:rPr>
              <w:t>联发</w:t>
            </w:r>
          </w:p>
        </w:tc>
        <w:tc>
          <w:tcPr>
            <w:tcW w:w="109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cs="宋体"/>
                <w:color w:val="000000"/>
                <w:kern w:val="0"/>
                <w:sz w:val="22"/>
              </w:rPr>
            </w:pPr>
          </w:p>
        </w:tc>
      </w:tr>
      <w:tr>
        <w:tblPrEx>
          <w:tblCellMar>
            <w:top w:w="0" w:type="dxa"/>
            <w:left w:w="108" w:type="dxa"/>
            <w:bottom w:w="0" w:type="dxa"/>
            <w:right w:w="108" w:type="dxa"/>
          </w:tblCellMar>
        </w:tblPrEx>
        <w:trPr>
          <w:trHeight w:val="315" w:hRule="atLeast"/>
        </w:trPr>
        <w:tc>
          <w:tcPr>
            <w:tcW w:w="6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11</w:t>
            </w:r>
          </w:p>
        </w:tc>
        <w:tc>
          <w:tcPr>
            <w:tcW w:w="1680"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电机</w:t>
            </w:r>
          </w:p>
        </w:tc>
        <w:tc>
          <w:tcPr>
            <w:tcW w:w="2385"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2.2KW</w:t>
            </w:r>
          </w:p>
        </w:tc>
        <w:tc>
          <w:tcPr>
            <w:tcW w:w="765"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台</w:t>
            </w:r>
          </w:p>
        </w:tc>
        <w:tc>
          <w:tcPr>
            <w:tcW w:w="1650"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联发</w:t>
            </w:r>
          </w:p>
        </w:tc>
        <w:tc>
          <w:tcPr>
            <w:tcW w:w="1095"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cs="宋体"/>
                <w:color w:val="000000"/>
                <w:kern w:val="0"/>
                <w:sz w:val="22"/>
              </w:rPr>
            </w:pPr>
          </w:p>
        </w:tc>
      </w:tr>
      <w:tr>
        <w:tblPrEx>
          <w:tblCellMar>
            <w:top w:w="0" w:type="dxa"/>
            <w:left w:w="108" w:type="dxa"/>
            <w:bottom w:w="0" w:type="dxa"/>
            <w:right w:w="108" w:type="dxa"/>
          </w:tblCellMar>
        </w:tblPrEx>
        <w:trPr>
          <w:trHeight w:val="315" w:hRule="atLeast"/>
        </w:trPr>
        <w:tc>
          <w:tcPr>
            <w:tcW w:w="6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12</w:t>
            </w:r>
          </w:p>
        </w:tc>
        <w:tc>
          <w:tcPr>
            <w:tcW w:w="168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电机</w:t>
            </w:r>
          </w:p>
        </w:tc>
        <w:tc>
          <w:tcPr>
            <w:tcW w:w="238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0.2KW</w:t>
            </w:r>
          </w:p>
        </w:tc>
        <w:tc>
          <w:tcPr>
            <w:tcW w:w="76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台</w:t>
            </w:r>
          </w:p>
        </w:tc>
        <w:tc>
          <w:tcPr>
            <w:tcW w:w="1650"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联发</w:t>
            </w:r>
          </w:p>
        </w:tc>
        <w:tc>
          <w:tcPr>
            <w:tcW w:w="109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cs="宋体"/>
                <w:color w:val="000000"/>
                <w:kern w:val="0"/>
                <w:sz w:val="22"/>
              </w:rPr>
            </w:pPr>
          </w:p>
        </w:tc>
      </w:tr>
      <w:tr>
        <w:tblPrEx>
          <w:tblCellMar>
            <w:top w:w="0" w:type="dxa"/>
            <w:left w:w="108" w:type="dxa"/>
            <w:bottom w:w="0" w:type="dxa"/>
            <w:right w:w="108" w:type="dxa"/>
          </w:tblCellMar>
        </w:tblPrEx>
        <w:trPr>
          <w:trHeight w:val="315" w:hRule="atLeast"/>
        </w:trPr>
        <w:tc>
          <w:tcPr>
            <w:tcW w:w="675"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13</w:t>
            </w:r>
          </w:p>
        </w:tc>
        <w:tc>
          <w:tcPr>
            <w:tcW w:w="1680"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变压器</w:t>
            </w:r>
          </w:p>
        </w:tc>
        <w:tc>
          <w:tcPr>
            <w:tcW w:w="2385"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200VA 220V/110V</w:t>
            </w:r>
          </w:p>
        </w:tc>
        <w:tc>
          <w:tcPr>
            <w:tcW w:w="765"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个</w:t>
            </w:r>
          </w:p>
        </w:tc>
        <w:tc>
          <w:tcPr>
            <w:tcW w:w="1650"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p>
        </w:tc>
        <w:tc>
          <w:tcPr>
            <w:tcW w:w="1095" w:type="dxa"/>
            <w:tcBorders>
              <w:top w:val="single" w:color="auto" w:sz="4" w:space="0"/>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cs="宋体"/>
                <w:color w:val="000000"/>
                <w:kern w:val="0"/>
                <w:sz w:val="22"/>
              </w:rPr>
            </w:pPr>
          </w:p>
        </w:tc>
      </w:tr>
      <w:tr>
        <w:tblPrEx>
          <w:tblCellMar>
            <w:top w:w="0" w:type="dxa"/>
            <w:left w:w="108" w:type="dxa"/>
            <w:bottom w:w="0" w:type="dxa"/>
            <w:right w:w="108" w:type="dxa"/>
          </w:tblCellMar>
        </w:tblPrEx>
        <w:trPr>
          <w:trHeight w:val="285" w:hRule="atLeast"/>
        </w:trPr>
        <w:tc>
          <w:tcPr>
            <w:tcW w:w="675"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14</w:t>
            </w:r>
          </w:p>
        </w:tc>
        <w:tc>
          <w:tcPr>
            <w:tcW w:w="168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auto"/>
                <w:kern w:val="0"/>
                <w:sz w:val="22"/>
                <w:highlight w:val="none"/>
                <w:shd w:val="clear" w:color="auto" w:fill="auto"/>
              </w:rPr>
            </w:pPr>
            <w:r>
              <w:rPr>
                <w:rFonts w:hint="eastAsia" w:ascii="宋体" w:hAnsi="宋体" w:cs="宋体"/>
                <w:color w:val="000000"/>
                <w:kern w:val="0"/>
                <w:sz w:val="22"/>
              </w:rPr>
              <w:t>8A链条</w:t>
            </w:r>
          </w:p>
        </w:tc>
        <w:tc>
          <w:tcPr>
            <w:tcW w:w="2385" w:type="dxa"/>
            <w:tcBorders>
              <w:top w:val="nil"/>
              <w:left w:val="nil"/>
              <w:bottom w:val="single" w:color="auto" w:sz="4" w:space="0"/>
              <w:right w:val="single" w:color="auto" w:sz="4" w:space="0"/>
            </w:tcBorders>
            <w:shd w:val="clear" w:color="000000"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auto"/>
                <w:kern w:val="0"/>
                <w:sz w:val="22"/>
                <w:highlight w:val="none"/>
                <w:shd w:val="clear" w:color="auto" w:fill="auto"/>
              </w:rPr>
            </w:pPr>
          </w:p>
        </w:tc>
        <w:tc>
          <w:tcPr>
            <w:tcW w:w="765" w:type="dxa"/>
            <w:tcBorders>
              <w:top w:val="nil"/>
              <w:left w:val="nil"/>
              <w:bottom w:val="single" w:color="auto" w:sz="4" w:space="0"/>
              <w:right w:val="single" w:color="auto" w:sz="4" w:space="0"/>
            </w:tcBorders>
            <w:shd w:val="clear" w:color="000000"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auto"/>
                <w:kern w:val="0"/>
                <w:sz w:val="22"/>
                <w:highlight w:val="none"/>
                <w:shd w:val="clear" w:color="auto" w:fill="auto"/>
              </w:rPr>
            </w:pPr>
            <w:r>
              <w:rPr>
                <w:rFonts w:hint="eastAsia" w:ascii="宋体" w:hAnsi="宋体" w:cs="宋体"/>
                <w:color w:val="000000"/>
                <w:kern w:val="0"/>
                <w:sz w:val="22"/>
              </w:rPr>
              <w:t>根</w:t>
            </w:r>
          </w:p>
        </w:tc>
        <w:tc>
          <w:tcPr>
            <w:tcW w:w="1650" w:type="dxa"/>
            <w:tcBorders>
              <w:top w:val="nil"/>
              <w:left w:val="nil"/>
              <w:bottom w:val="single" w:color="auto" w:sz="4" w:space="0"/>
              <w:right w:val="single" w:color="auto" w:sz="4" w:space="0"/>
            </w:tcBorders>
            <w:shd w:val="clear" w:color="000000"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auto"/>
                <w:kern w:val="0"/>
                <w:sz w:val="22"/>
                <w:highlight w:val="none"/>
                <w:shd w:val="clear" w:color="auto" w:fill="auto"/>
              </w:rPr>
            </w:pPr>
            <w:r>
              <w:rPr>
                <w:rFonts w:hint="eastAsia" w:ascii="宋体" w:hAnsi="宋体" w:cs="宋体"/>
                <w:color w:val="000000"/>
                <w:kern w:val="0"/>
                <w:sz w:val="22"/>
              </w:rPr>
              <w:t>环球</w:t>
            </w:r>
          </w:p>
        </w:tc>
        <w:tc>
          <w:tcPr>
            <w:tcW w:w="1095" w:type="dxa"/>
            <w:tcBorders>
              <w:top w:val="nil"/>
              <w:left w:val="nil"/>
              <w:bottom w:val="single" w:color="auto" w:sz="4" w:space="0"/>
              <w:right w:val="single" w:color="auto" w:sz="4" w:space="0"/>
            </w:tcBorders>
            <w:shd w:val="clear" w:color="000000"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cs="宋体"/>
                <w:color w:val="auto"/>
                <w:kern w:val="0"/>
                <w:sz w:val="22"/>
                <w:highlight w:val="none"/>
                <w:shd w:val="clear" w:color="auto" w:fill="auto"/>
              </w:rPr>
            </w:pPr>
          </w:p>
        </w:tc>
      </w:tr>
      <w:tr>
        <w:tblPrEx>
          <w:tblCellMar>
            <w:top w:w="0" w:type="dxa"/>
            <w:left w:w="108" w:type="dxa"/>
            <w:bottom w:w="0" w:type="dxa"/>
            <w:right w:w="108" w:type="dxa"/>
          </w:tblCellMar>
        </w:tblPrEx>
        <w:trPr>
          <w:trHeight w:val="315" w:hRule="atLeast"/>
        </w:trPr>
        <w:tc>
          <w:tcPr>
            <w:tcW w:w="675"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15</w:t>
            </w:r>
          </w:p>
        </w:tc>
        <w:tc>
          <w:tcPr>
            <w:tcW w:w="168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16A链条</w:t>
            </w:r>
          </w:p>
        </w:tc>
        <w:tc>
          <w:tcPr>
            <w:tcW w:w="238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p>
        </w:tc>
        <w:tc>
          <w:tcPr>
            <w:tcW w:w="76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根</w:t>
            </w:r>
          </w:p>
        </w:tc>
        <w:tc>
          <w:tcPr>
            <w:tcW w:w="165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环球</w:t>
            </w:r>
          </w:p>
        </w:tc>
        <w:tc>
          <w:tcPr>
            <w:tcW w:w="109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cs="宋体"/>
                <w:color w:val="000000"/>
                <w:kern w:val="0"/>
                <w:sz w:val="22"/>
              </w:rPr>
            </w:pPr>
          </w:p>
        </w:tc>
      </w:tr>
      <w:tr>
        <w:tblPrEx>
          <w:tblCellMar>
            <w:top w:w="0" w:type="dxa"/>
            <w:left w:w="108" w:type="dxa"/>
            <w:bottom w:w="0" w:type="dxa"/>
            <w:right w:w="108" w:type="dxa"/>
          </w:tblCellMar>
        </w:tblPrEx>
        <w:trPr>
          <w:trHeight w:val="315" w:hRule="atLeast"/>
        </w:trPr>
        <w:tc>
          <w:tcPr>
            <w:tcW w:w="675"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16</w:t>
            </w:r>
          </w:p>
        </w:tc>
        <w:tc>
          <w:tcPr>
            <w:tcW w:w="168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20A链条</w:t>
            </w:r>
          </w:p>
        </w:tc>
        <w:tc>
          <w:tcPr>
            <w:tcW w:w="238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p>
        </w:tc>
        <w:tc>
          <w:tcPr>
            <w:tcW w:w="76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根</w:t>
            </w:r>
          </w:p>
        </w:tc>
        <w:tc>
          <w:tcPr>
            <w:tcW w:w="165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环球</w:t>
            </w:r>
          </w:p>
        </w:tc>
        <w:tc>
          <w:tcPr>
            <w:tcW w:w="109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cs="宋体"/>
                <w:color w:val="000000"/>
                <w:kern w:val="0"/>
                <w:sz w:val="22"/>
              </w:rPr>
            </w:pPr>
          </w:p>
        </w:tc>
      </w:tr>
      <w:tr>
        <w:tblPrEx>
          <w:tblCellMar>
            <w:top w:w="0" w:type="dxa"/>
            <w:left w:w="108" w:type="dxa"/>
            <w:bottom w:w="0" w:type="dxa"/>
            <w:right w:w="108" w:type="dxa"/>
          </w:tblCellMar>
        </w:tblPrEx>
        <w:trPr>
          <w:trHeight w:val="315" w:hRule="atLeast"/>
        </w:trPr>
        <w:tc>
          <w:tcPr>
            <w:tcW w:w="675"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17</w:t>
            </w:r>
          </w:p>
        </w:tc>
        <w:tc>
          <w:tcPr>
            <w:tcW w:w="168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ascii="宋体" w:hAnsi="宋体" w:cs="宋体"/>
                <w:color w:val="000000"/>
                <w:kern w:val="0"/>
                <w:sz w:val="22"/>
              </w:rPr>
              <w:t>防坠组件</w:t>
            </w:r>
          </w:p>
        </w:tc>
        <w:tc>
          <w:tcPr>
            <w:tcW w:w="238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p>
        </w:tc>
        <w:tc>
          <w:tcPr>
            <w:tcW w:w="76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ascii="宋体" w:hAnsi="宋体" w:cs="宋体"/>
                <w:color w:val="000000"/>
                <w:kern w:val="0"/>
                <w:sz w:val="22"/>
              </w:rPr>
              <w:t>套</w:t>
            </w:r>
          </w:p>
        </w:tc>
        <w:tc>
          <w:tcPr>
            <w:tcW w:w="165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ascii="宋体" w:hAnsi="宋体" w:cs="宋体"/>
                <w:color w:val="000000"/>
                <w:kern w:val="0"/>
                <w:sz w:val="22"/>
              </w:rPr>
              <w:t>定制</w:t>
            </w:r>
          </w:p>
        </w:tc>
        <w:tc>
          <w:tcPr>
            <w:tcW w:w="109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cs="宋体"/>
                <w:color w:val="000000"/>
                <w:kern w:val="0"/>
                <w:sz w:val="22"/>
              </w:rPr>
            </w:pPr>
          </w:p>
        </w:tc>
      </w:tr>
      <w:tr>
        <w:tblPrEx>
          <w:tblCellMar>
            <w:top w:w="0" w:type="dxa"/>
            <w:left w:w="108" w:type="dxa"/>
            <w:bottom w:w="0" w:type="dxa"/>
            <w:right w:w="108" w:type="dxa"/>
          </w:tblCellMar>
        </w:tblPrEx>
        <w:trPr>
          <w:trHeight w:val="315" w:hRule="atLeast"/>
        </w:trPr>
        <w:tc>
          <w:tcPr>
            <w:tcW w:w="675"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18</w:t>
            </w:r>
          </w:p>
        </w:tc>
        <w:tc>
          <w:tcPr>
            <w:tcW w:w="168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right="0" w:firstLine="0" w:firstLineChars="0"/>
              <w:jc w:val="center"/>
              <w:textAlignment w:val="auto"/>
              <w:outlineLvl w:val="9"/>
              <w:rPr>
                <w:rFonts w:ascii="宋体" w:hAnsi="宋体" w:cs="宋体"/>
                <w:color w:val="000000"/>
                <w:kern w:val="0"/>
                <w:sz w:val="22"/>
              </w:rPr>
            </w:pPr>
            <w:r>
              <w:rPr>
                <w:rFonts w:ascii="宋体" w:hAnsi="宋体" w:cs="宋体"/>
                <w:color w:val="000000"/>
                <w:kern w:val="0"/>
                <w:sz w:val="22"/>
              </w:rPr>
              <w:t>横移连接杆</w:t>
            </w:r>
          </w:p>
        </w:tc>
        <w:tc>
          <w:tcPr>
            <w:tcW w:w="238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p>
        </w:tc>
        <w:tc>
          <w:tcPr>
            <w:tcW w:w="76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ascii="宋体" w:hAnsi="宋体" w:cs="宋体"/>
                <w:color w:val="000000"/>
                <w:kern w:val="0"/>
                <w:sz w:val="22"/>
              </w:rPr>
              <w:t>根</w:t>
            </w:r>
          </w:p>
        </w:tc>
        <w:tc>
          <w:tcPr>
            <w:tcW w:w="1650" w:type="dxa"/>
            <w:tcBorders>
              <w:top w:val="nil"/>
              <w:left w:val="nil"/>
              <w:bottom w:val="single" w:color="auto" w:sz="4" w:space="0"/>
              <w:right w:val="single" w:color="auto" w:sz="4" w:space="0"/>
            </w:tcBorders>
            <w:shd w:val="clear" w:color="000000"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r>
              <w:rPr>
                <w:rFonts w:ascii="宋体" w:hAnsi="宋体" w:cs="宋体"/>
                <w:color w:val="000000"/>
                <w:kern w:val="0"/>
                <w:sz w:val="22"/>
              </w:rPr>
              <w:t>定制</w:t>
            </w:r>
          </w:p>
        </w:tc>
        <w:tc>
          <w:tcPr>
            <w:tcW w:w="1095" w:type="dxa"/>
            <w:tcBorders>
              <w:top w:val="nil"/>
              <w:left w:val="nil"/>
              <w:bottom w:val="single" w:color="auto" w:sz="4" w:space="0"/>
              <w:right w:val="single" w:color="auto" w:sz="4" w:space="0"/>
            </w:tcBorders>
            <w:shd w:val="clear" w:color="000000"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cs="宋体"/>
                <w:color w:val="000000"/>
                <w:kern w:val="0"/>
                <w:sz w:val="22"/>
              </w:rPr>
            </w:pPr>
          </w:p>
        </w:tc>
      </w:tr>
      <w:tr>
        <w:tblPrEx>
          <w:tblCellMar>
            <w:top w:w="0" w:type="dxa"/>
            <w:left w:w="108" w:type="dxa"/>
            <w:bottom w:w="0" w:type="dxa"/>
            <w:right w:w="108" w:type="dxa"/>
          </w:tblCellMar>
        </w:tblPrEx>
        <w:trPr>
          <w:trHeight w:val="315" w:hRule="atLeast"/>
        </w:trPr>
        <w:tc>
          <w:tcPr>
            <w:tcW w:w="675"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19</w:t>
            </w:r>
          </w:p>
        </w:tc>
        <w:tc>
          <w:tcPr>
            <w:tcW w:w="168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right="0" w:firstLine="0" w:firstLineChars="0"/>
              <w:jc w:val="center"/>
              <w:textAlignment w:val="auto"/>
              <w:outlineLvl w:val="9"/>
              <w:rPr>
                <w:rFonts w:ascii="宋体" w:hAnsi="宋体" w:cs="宋体"/>
                <w:color w:val="000000"/>
                <w:kern w:val="0"/>
                <w:sz w:val="22"/>
              </w:rPr>
            </w:pPr>
            <w:r>
              <w:rPr>
                <w:rFonts w:ascii="宋体" w:hAnsi="宋体" w:cs="宋体"/>
                <w:color w:val="000000"/>
                <w:kern w:val="0"/>
                <w:sz w:val="22"/>
              </w:rPr>
              <w:t>定位柱组件</w:t>
            </w:r>
          </w:p>
        </w:tc>
        <w:tc>
          <w:tcPr>
            <w:tcW w:w="238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p>
        </w:tc>
        <w:tc>
          <w:tcPr>
            <w:tcW w:w="76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right="0" w:firstLine="0" w:firstLineChars="0"/>
              <w:jc w:val="center"/>
              <w:textAlignment w:val="auto"/>
              <w:outlineLvl w:val="9"/>
              <w:rPr>
                <w:rFonts w:ascii="宋体" w:hAnsi="宋体" w:cs="宋体"/>
                <w:color w:val="000000"/>
                <w:kern w:val="0"/>
                <w:sz w:val="22"/>
              </w:rPr>
            </w:pPr>
            <w:r>
              <w:rPr>
                <w:rFonts w:ascii="宋体" w:hAnsi="宋体" w:cs="宋体"/>
                <w:color w:val="000000"/>
                <w:kern w:val="0"/>
                <w:sz w:val="22"/>
              </w:rPr>
              <w:t>套</w:t>
            </w:r>
          </w:p>
        </w:tc>
        <w:tc>
          <w:tcPr>
            <w:tcW w:w="1650" w:type="dxa"/>
            <w:tcBorders>
              <w:top w:val="nil"/>
              <w:left w:val="nil"/>
              <w:bottom w:val="single" w:color="auto" w:sz="4" w:space="0"/>
              <w:right w:val="single" w:color="auto" w:sz="4" w:space="0"/>
            </w:tcBorders>
            <w:shd w:val="clear" w:color="000000"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right="0" w:firstLine="0" w:firstLineChars="0"/>
              <w:jc w:val="center"/>
              <w:textAlignment w:val="auto"/>
              <w:outlineLvl w:val="9"/>
              <w:rPr>
                <w:rFonts w:ascii="宋体" w:hAnsi="宋体" w:cs="宋体"/>
                <w:color w:val="000000"/>
                <w:kern w:val="0"/>
                <w:sz w:val="22"/>
              </w:rPr>
            </w:pPr>
            <w:r>
              <w:rPr>
                <w:rFonts w:ascii="宋体" w:hAnsi="宋体" w:cs="宋体"/>
                <w:color w:val="000000"/>
                <w:kern w:val="0"/>
                <w:sz w:val="22"/>
              </w:rPr>
              <w:t>定制</w:t>
            </w:r>
          </w:p>
        </w:tc>
        <w:tc>
          <w:tcPr>
            <w:tcW w:w="1095" w:type="dxa"/>
            <w:tcBorders>
              <w:top w:val="nil"/>
              <w:left w:val="nil"/>
              <w:bottom w:val="single" w:color="auto" w:sz="4" w:space="0"/>
              <w:right w:val="single" w:color="auto" w:sz="4" w:space="0"/>
            </w:tcBorders>
            <w:shd w:val="clear" w:color="000000"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cs="宋体"/>
                <w:color w:val="000000"/>
                <w:kern w:val="0"/>
                <w:sz w:val="22"/>
              </w:rPr>
            </w:pPr>
          </w:p>
        </w:tc>
      </w:tr>
      <w:tr>
        <w:tblPrEx>
          <w:tblCellMar>
            <w:top w:w="0" w:type="dxa"/>
            <w:left w:w="108" w:type="dxa"/>
            <w:bottom w:w="0" w:type="dxa"/>
            <w:right w:w="108" w:type="dxa"/>
          </w:tblCellMar>
        </w:tblPrEx>
        <w:trPr>
          <w:trHeight w:val="315" w:hRule="atLeast"/>
        </w:trPr>
        <w:tc>
          <w:tcPr>
            <w:tcW w:w="675"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right="0" w:firstLine="0" w:firstLineChars="0"/>
              <w:jc w:val="center"/>
              <w:textAlignment w:val="auto"/>
              <w:outlineLvl w:val="9"/>
              <w:rPr>
                <w:rFonts w:ascii="宋体" w:hAnsi="宋体" w:cs="宋体"/>
                <w:color w:val="000000"/>
                <w:kern w:val="0"/>
                <w:sz w:val="22"/>
              </w:rPr>
            </w:pPr>
            <w:r>
              <w:rPr>
                <w:rFonts w:hint="eastAsia" w:ascii="宋体" w:hAnsi="宋体" w:cs="宋体"/>
                <w:color w:val="000000"/>
                <w:kern w:val="0"/>
                <w:sz w:val="22"/>
              </w:rPr>
              <w:t>20</w:t>
            </w:r>
          </w:p>
        </w:tc>
        <w:tc>
          <w:tcPr>
            <w:tcW w:w="1680"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right="0" w:firstLine="0" w:firstLineChars="0"/>
              <w:jc w:val="center"/>
              <w:textAlignment w:val="auto"/>
              <w:outlineLvl w:val="9"/>
              <w:rPr>
                <w:rFonts w:ascii="宋体" w:hAnsi="宋体" w:cs="宋体"/>
                <w:color w:val="000000"/>
                <w:kern w:val="0"/>
                <w:sz w:val="22"/>
              </w:rPr>
            </w:pPr>
            <w:r>
              <w:rPr>
                <w:rFonts w:ascii="宋体" w:hAnsi="宋体" w:cs="宋体"/>
                <w:color w:val="000000"/>
                <w:kern w:val="0"/>
                <w:sz w:val="22"/>
              </w:rPr>
              <w:t>钢丝绳</w:t>
            </w:r>
          </w:p>
        </w:tc>
        <w:tc>
          <w:tcPr>
            <w:tcW w:w="238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ascii="宋体" w:hAnsi="宋体" w:cs="宋体"/>
                <w:color w:val="000000"/>
                <w:kern w:val="0"/>
                <w:sz w:val="22"/>
              </w:rPr>
            </w:pPr>
          </w:p>
        </w:tc>
        <w:tc>
          <w:tcPr>
            <w:tcW w:w="765" w:type="dxa"/>
            <w:tcBorders>
              <w:top w:val="nil"/>
              <w:left w:val="nil"/>
              <w:bottom w:val="single" w:color="auto" w:sz="4" w:space="0"/>
              <w:right w:val="single" w:color="auto"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right="0" w:firstLine="0" w:firstLineChars="0"/>
              <w:jc w:val="center"/>
              <w:textAlignment w:val="auto"/>
              <w:outlineLvl w:val="9"/>
              <w:rPr>
                <w:rFonts w:ascii="宋体" w:hAnsi="宋体" w:cs="宋体"/>
                <w:color w:val="000000"/>
                <w:kern w:val="0"/>
                <w:sz w:val="22"/>
              </w:rPr>
            </w:pPr>
            <w:r>
              <w:rPr>
                <w:rFonts w:ascii="宋体" w:hAnsi="宋体" w:cs="宋体"/>
                <w:color w:val="000000"/>
                <w:kern w:val="0"/>
                <w:sz w:val="22"/>
              </w:rPr>
              <w:t>根</w:t>
            </w:r>
          </w:p>
        </w:tc>
        <w:tc>
          <w:tcPr>
            <w:tcW w:w="1650" w:type="dxa"/>
            <w:tcBorders>
              <w:top w:val="nil"/>
              <w:left w:val="nil"/>
              <w:bottom w:val="single" w:color="auto" w:sz="4" w:space="0"/>
              <w:right w:val="single" w:color="auto" w:sz="4" w:space="0"/>
            </w:tcBorders>
            <w:shd w:val="clear" w:color="000000"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right="0" w:firstLine="0" w:firstLineChars="0"/>
              <w:jc w:val="center"/>
              <w:textAlignment w:val="auto"/>
              <w:outlineLvl w:val="9"/>
              <w:rPr>
                <w:rFonts w:ascii="宋体" w:hAnsi="宋体" w:cs="宋体"/>
                <w:color w:val="000000"/>
                <w:kern w:val="0"/>
                <w:sz w:val="22"/>
              </w:rPr>
            </w:pPr>
            <w:r>
              <w:rPr>
                <w:rFonts w:ascii="宋体" w:hAnsi="宋体" w:cs="宋体"/>
                <w:color w:val="000000"/>
                <w:kern w:val="0"/>
                <w:sz w:val="22"/>
              </w:rPr>
              <w:t>展兴</w:t>
            </w:r>
          </w:p>
        </w:tc>
        <w:tc>
          <w:tcPr>
            <w:tcW w:w="1095" w:type="dxa"/>
            <w:tcBorders>
              <w:top w:val="nil"/>
              <w:left w:val="nil"/>
              <w:bottom w:val="single" w:color="auto" w:sz="4" w:space="0"/>
              <w:right w:val="single" w:color="auto" w:sz="4" w:space="0"/>
            </w:tcBorders>
            <w:shd w:val="clear" w:color="000000" w:fill="auto"/>
            <w:noWrap/>
            <w:vAlign w:val="center"/>
          </w:tcPr>
          <w:p>
            <w:pPr>
              <w:keepNext w:val="0"/>
              <w:keepLines w:val="0"/>
              <w:pageBreakBefore w:val="0"/>
              <w:widowControl/>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宋体" w:hAnsi="宋体" w:cs="宋体"/>
                <w:color w:val="000000"/>
                <w:kern w:val="0"/>
                <w:sz w:val="22"/>
              </w:rPr>
            </w:pPr>
          </w:p>
        </w:tc>
      </w:tr>
    </w:tbl>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pPr>
      <w:r>
        <w:rPr>
          <w:rFonts w:hint="eastAsia"/>
        </w:rPr>
        <w:t xml:space="preserve">五、综合说明及其他要求： </w:t>
      </w:r>
    </w:p>
    <w:p>
      <w:pPr>
        <w:spacing w:line="400" w:lineRule="exact"/>
        <w:ind w:firstLine="411" w:firstLineChars="196"/>
        <w:rPr>
          <w:rFonts w:hint="eastAsia"/>
          <w:szCs w:val="21"/>
        </w:rPr>
      </w:pPr>
      <w:r>
        <w:rPr>
          <w:rFonts w:hint="eastAsia"/>
          <w:szCs w:val="21"/>
        </w:rPr>
        <w:t>1、合同价格实际包括人工费、差旅费及其它辅助费用、管理、维护、保险、利润、税金、政策性文件规定及合同包含的所有风险、责任等各项应有费用</w:t>
      </w:r>
      <w:r>
        <w:rPr>
          <w:rFonts w:hint="eastAsia"/>
          <w:szCs w:val="21"/>
          <w:lang w:eastAsia="zh-CN"/>
        </w:rPr>
        <w:t>，另需在标书中提供</w:t>
      </w:r>
      <w:r>
        <w:rPr>
          <w:rFonts w:hint="eastAsia"/>
          <w:szCs w:val="21"/>
          <w:lang w:val="en-US" w:eastAsia="zh-CN"/>
        </w:rPr>
        <w:t>部分备件清单报价（如</w:t>
      </w:r>
      <w:r>
        <w:rPr>
          <w:rFonts w:hint="eastAsia"/>
          <w:szCs w:val="21"/>
        </w:rPr>
        <w:t>备品、备件价格一览表</w:t>
      </w:r>
      <w:r>
        <w:rPr>
          <w:rFonts w:hint="eastAsia"/>
          <w:szCs w:val="21"/>
          <w:lang w:val="en-US" w:eastAsia="zh-CN"/>
        </w:rPr>
        <w:t>）。</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rPr>
          <w:rFonts w:hint="eastAsia"/>
          <w:szCs w:val="21"/>
        </w:rPr>
      </w:pPr>
      <w:r>
        <w:rPr>
          <w:rFonts w:hint="eastAsia"/>
          <w:szCs w:val="21"/>
        </w:rPr>
        <w:t>2、质量要求、验收标准：投标供应商中标后提供服务均为按国家规格条例的合格正规服务、符合设计规范要求。应能保证所提供服务涉及到的知识产权是合法取得，并享有完整的知识产权，不会因为需方的使用而被责令停止使用、追偿或要求赔偿损失，如出现此情况，一切经济和法律责任均由供方承担。供方提供的所有服务必须质量符合国际或国家通用标准，如出现质量问题，供应商负责修缮，发生的费用由供应商负责。</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pPr>
      <w:r>
        <w:rPr>
          <w:rFonts w:hint="eastAsia"/>
          <w:szCs w:val="21"/>
        </w:rPr>
        <w:t>3、费用结算：</w:t>
      </w:r>
      <w:r>
        <w:rPr>
          <w:rFonts w:hint="eastAsia"/>
        </w:rPr>
        <w:t xml:space="preserve">在合同生效乙方提供维保服务满半年后，甲方支付50%的服务费用给乙方；在乙方提供维保服务满一年后一个月内无任何设备运行问题后，甲方支付剩余50%的服务费用给乙方。  </w:t>
      </w:r>
    </w:p>
    <w:p>
      <w:pPr>
        <w:pStyle w:val="12"/>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rPr>
          <w:sz w:val="21"/>
          <w:szCs w:val="21"/>
          <w:lang w:val="zh-CN"/>
        </w:rPr>
      </w:pPr>
      <w:r>
        <w:rPr>
          <w:rFonts w:hint="eastAsia" w:ascii="Times New Roman" w:hAnsi="Times New Roman" w:eastAsia="宋体"/>
          <w:sz w:val="21"/>
          <w:szCs w:val="21"/>
        </w:rPr>
        <w:t>4</w:t>
      </w:r>
      <w:r>
        <w:rPr>
          <w:rFonts w:ascii="Times New Roman" w:hAnsi="Times New Roman" w:eastAsia="宋体"/>
          <w:sz w:val="21"/>
          <w:szCs w:val="21"/>
        </w:rPr>
        <w:t>、需采购人配合的工作：</w:t>
      </w:r>
      <w:r>
        <w:rPr>
          <w:rFonts w:hint="eastAsia" w:ascii="Times New Roman" w:hAnsi="Times New Roman" w:eastAsia="宋体"/>
          <w:sz w:val="21"/>
          <w:szCs w:val="21"/>
        </w:rPr>
        <w:t>谈判供应商</w:t>
      </w:r>
      <w:r>
        <w:rPr>
          <w:rFonts w:ascii="Times New Roman" w:hAnsi="Times New Roman" w:eastAsia="宋体"/>
          <w:sz w:val="21"/>
          <w:szCs w:val="21"/>
        </w:rPr>
        <w:t>应在</w:t>
      </w:r>
      <w:r>
        <w:rPr>
          <w:rFonts w:hint="eastAsia" w:ascii="Times New Roman" w:hAnsi="Times New Roman" w:eastAsia="宋体"/>
          <w:sz w:val="21"/>
          <w:szCs w:val="21"/>
        </w:rPr>
        <w:t>谈判</w:t>
      </w:r>
      <w:r>
        <w:rPr>
          <w:rFonts w:ascii="Times New Roman" w:hAnsi="Times New Roman" w:eastAsia="宋体"/>
          <w:sz w:val="21"/>
          <w:szCs w:val="21"/>
        </w:rPr>
        <w:t>文件中说明，如能中标，在服务过程中需要采购人配合的工作和需要提供的条件。</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rPr>
          <w:bCs/>
        </w:rPr>
      </w:pPr>
      <w:r>
        <w:rPr>
          <w:rFonts w:hint="eastAsia"/>
          <w:lang w:eastAsia="zh-CN"/>
        </w:rPr>
        <w:t>六</w:t>
      </w:r>
      <w:r>
        <w:rPr>
          <w:rFonts w:hint="eastAsia"/>
        </w:rPr>
        <w:t>、谈判响应文件的组成及要求：</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rPr>
          <w:rFonts w:hAnsi="宋体"/>
          <w:kern w:val="0"/>
          <w:szCs w:val="21"/>
        </w:rPr>
      </w:pPr>
      <w:r>
        <w:rPr>
          <w:rFonts w:hint="eastAsia" w:hAnsi="宋体"/>
          <w:kern w:val="0"/>
          <w:szCs w:val="21"/>
        </w:rPr>
        <w:t>（一）文件组成：</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pPr>
      <w:r>
        <w:rPr>
          <w:rFonts w:hint="eastAsia"/>
        </w:rPr>
        <w:t>1、营业执照副本复印件；</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rPr>
          <w:rFonts w:hAnsi="宋体"/>
        </w:rPr>
      </w:pPr>
      <w:r>
        <w:rPr>
          <w:rFonts w:hint="eastAsia" w:hAnsi="宋体"/>
        </w:rPr>
        <w:t>2、法人及法人授权代表身份证复印件</w:t>
      </w:r>
      <w:r>
        <w:rPr>
          <w:rFonts w:hAnsi="宋体"/>
        </w:rPr>
        <w:t>；</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rPr>
          <w:rFonts w:hAnsi="宋体"/>
        </w:rPr>
      </w:pPr>
      <w:r>
        <w:rPr>
          <w:rFonts w:hint="eastAsia" w:hAnsi="宋体"/>
        </w:rPr>
        <w:t>3、法定代表人授权委托书原件；</w:t>
      </w:r>
      <w:r>
        <w:rPr>
          <w:rFonts w:hAnsi="宋体"/>
        </w:rPr>
        <w:t xml:space="preserve"> </w:t>
      </w:r>
    </w:p>
    <w:p>
      <w:pPr>
        <w:keepNext w:val="0"/>
        <w:keepLines w:val="0"/>
        <w:pageBreakBefore w:val="0"/>
        <w:tabs>
          <w:tab w:val="left" w:pos="8930"/>
          <w:tab w:val="left" w:pos="9024"/>
          <w:tab w:val="left" w:pos="9306"/>
        </w:tabs>
        <w:kinsoku/>
        <w:wordWrap/>
        <w:overflowPunct/>
        <w:topLinePunct w:val="0"/>
        <w:bidi w:val="0"/>
        <w:adjustRightInd w:val="0"/>
        <w:snapToGrid w:val="0"/>
        <w:spacing w:line="400" w:lineRule="exact"/>
        <w:ind w:left="0" w:leftChars="0" w:right="0" w:firstLine="420" w:firstLineChars="200"/>
        <w:jc w:val="left"/>
        <w:outlineLvl w:val="9"/>
        <w:rPr>
          <w:rFonts w:ascii="宋体" w:hAnsi="宋体"/>
          <w:szCs w:val="21"/>
        </w:rPr>
      </w:pPr>
      <w:r>
        <w:rPr>
          <w:rFonts w:hint="eastAsia" w:ascii="宋体" w:hAnsi="宋体"/>
          <w:szCs w:val="21"/>
        </w:rPr>
        <w:t>4、</w:t>
      </w:r>
      <w:r>
        <w:rPr>
          <w:rFonts w:ascii="宋体" w:hAnsi="宋体"/>
          <w:szCs w:val="21"/>
        </w:rPr>
        <w:t>具有履行合同所必需的设备和专业技术能力</w:t>
      </w:r>
      <w:r>
        <w:rPr>
          <w:rFonts w:hint="eastAsia" w:ascii="宋体" w:hAnsi="宋体"/>
          <w:szCs w:val="21"/>
        </w:rPr>
        <w:t>证明</w:t>
      </w:r>
      <w:r>
        <w:rPr>
          <w:rFonts w:ascii="宋体" w:hAnsi="宋体"/>
          <w:szCs w:val="21"/>
        </w:rPr>
        <w:t xml:space="preserve">； </w:t>
      </w:r>
    </w:p>
    <w:p>
      <w:pPr>
        <w:keepNext w:val="0"/>
        <w:keepLines w:val="0"/>
        <w:pageBreakBefore w:val="0"/>
        <w:tabs>
          <w:tab w:val="left" w:pos="8930"/>
          <w:tab w:val="left" w:pos="9024"/>
          <w:tab w:val="left" w:pos="9306"/>
        </w:tabs>
        <w:kinsoku/>
        <w:wordWrap/>
        <w:overflowPunct/>
        <w:topLinePunct w:val="0"/>
        <w:bidi w:val="0"/>
        <w:adjustRightInd w:val="0"/>
        <w:snapToGrid w:val="0"/>
        <w:spacing w:line="400" w:lineRule="exact"/>
        <w:ind w:left="0" w:leftChars="0" w:right="0" w:firstLine="420" w:firstLineChars="200"/>
        <w:jc w:val="left"/>
        <w:outlineLvl w:val="9"/>
        <w:rPr>
          <w:rFonts w:ascii="宋体" w:hAnsi="宋体"/>
          <w:szCs w:val="21"/>
        </w:rPr>
      </w:pPr>
      <w:r>
        <w:rPr>
          <w:rFonts w:hint="eastAsia" w:ascii="宋体" w:hAnsi="宋体"/>
          <w:szCs w:val="21"/>
        </w:rPr>
        <w:t>5、</w:t>
      </w:r>
      <w:r>
        <w:rPr>
          <w:rFonts w:ascii="宋体" w:hAnsi="宋体"/>
          <w:szCs w:val="21"/>
        </w:rPr>
        <w:t xml:space="preserve">有依法缴纳税收和社会保障资金的良好记录； </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pPr>
      <w:r>
        <w:rPr>
          <w:rFonts w:hint="eastAsia"/>
        </w:rPr>
        <w:t>6、参加政府采购活动前三年内，在经营活动中没有重大违法记录的承诺；</w:t>
      </w:r>
    </w:p>
    <w:p>
      <w:pPr>
        <w:keepNext w:val="0"/>
        <w:keepLines w:val="0"/>
        <w:pageBreakBefore w:val="0"/>
        <w:kinsoku/>
        <w:wordWrap/>
        <w:overflowPunct/>
        <w:topLinePunct w:val="0"/>
        <w:autoSpaceDE w:val="0"/>
        <w:autoSpaceDN w:val="0"/>
        <w:bidi w:val="0"/>
        <w:adjustRightInd w:val="0"/>
        <w:snapToGrid w:val="0"/>
        <w:spacing w:line="400" w:lineRule="exact"/>
        <w:ind w:left="0" w:leftChars="0" w:right="0" w:firstLine="420" w:firstLineChars="200"/>
        <w:jc w:val="left"/>
        <w:outlineLvl w:val="9"/>
        <w:rPr>
          <w:rFonts w:hAnsi="宋体"/>
          <w:kern w:val="0"/>
          <w:szCs w:val="21"/>
        </w:rPr>
      </w:pPr>
      <w:r>
        <w:rPr>
          <w:rFonts w:hint="eastAsia" w:hAnsi="宋体"/>
          <w:kern w:val="0"/>
          <w:szCs w:val="21"/>
        </w:rPr>
        <w:t xml:space="preserve">7、业绩证明材料； </w:t>
      </w:r>
    </w:p>
    <w:p>
      <w:pPr>
        <w:keepNext w:val="0"/>
        <w:keepLines w:val="0"/>
        <w:pageBreakBefore w:val="0"/>
        <w:kinsoku/>
        <w:wordWrap/>
        <w:overflowPunct/>
        <w:topLinePunct w:val="0"/>
        <w:autoSpaceDE w:val="0"/>
        <w:autoSpaceDN w:val="0"/>
        <w:bidi w:val="0"/>
        <w:adjustRightInd w:val="0"/>
        <w:snapToGrid w:val="0"/>
        <w:spacing w:line="400" w:lineRule="exact"/>
        <w:ind w:left="0" w:leftChars="0" w:right="0" w:firstLine="420" w:firstLineChars="200"/>
        <w:jc w:val="left"/>
        <w:outlineLvl w:val="9"/>
        <w:rPr>
          <w:rFonts w:hAnsi="宋体"/>
          <w:kern w:val="0"/>
          <w:szCs w:val="21"/>
        </w:rPr>
      </w:pPr>
      <w:r>
        <w:rPr>
          <w:rFonts w:hint="eastAsia" w:hAnsi="宋体"/>
          <w:kern w:val="0"/>
          <w:szCs w:val="21"/>
        </w:rPr>
        <w:t>8、</w:t>
      </w:r>
      <w:r>
        <w:rPr>
          <w:rFonts w:hint="eastAsia" w:hAnsi="宋体"/>
          <w:szCs w:val="21"/>
        </w:rPr>
        <w:t>详细维保方案说明</w:t>
      </w:r>
      <w:r>
        <w:rPr>
          <w:rFonts w:hint="eastAsia" w:hAnsi="宋体"/>
          <w:kern w:val="0"/>
          <w:szCs w:val="21"/>
        </w:rPr>
        <w:t>；</w:t>
      </w:r>
    </w:p>
    <w:p>
      <w:pPr>
        <w:keepNext w:val="0"/>
        <w:keepLines w:val="0"/>
        <w:pageBreakBefore w:val="0"/>
        <w:kinsoku/>
        <w:wordWrap/>
        <w:overflowPunct/>
        <w:topLinePunct w:val="0"/>
        <w:autoSpaceDE w:val="0"/>
        <w:autoSpaceDN w:val="0"/>
        <w:bidi w:val="0"/>
        <w:adjustRightInd w:val="0"/>
        <w:snapToGrid w:val="0"/>
        <w:spacing w:line="400" w:lineRule="exact"/>
        <w:ind w:left="0" w:leftChars="0" w:right="0" w:firstLine="420" w:firstLineChars="200"/>
        <w:jc w:val="left"/>
        <w:outlineLvl w:val="9"/>
        <w:rPr>
          <w:rFonts w:hAnsi="宋体"/>
          <w:kern w:val="0"/>
          <w:szCs w:val="21"/>
        </w:rPr>
      </w:pPr>
      <w:r>
        <w:rPr>
          <w:rFonts w:hint="eastAsia" w:hAnsi="宋体"/>
          <w:kern w:val="0"/>
          <w:szCs w:val="21"/>
        </w:rPr>
        <w:t>9、维保人员安排计划、岗位分配情况；</w:t>
      </w:r>
    </w:p>
    <w:p>
      <w:pPr>
        <w:keepNext w:val="0"/>
        <w:keepLines w:val="0"/>
        <w:pageBreakBefore w:val="0"/>
        <w:kinsoku/>
        <w:wordWrap/>
        <w:overflowPunct/>
        <w:topLinePunct w:val="0"/>
        <w:autoSpaceDE w:val="0"/>
        <w:autoSpaceDN w:val="0"/>
        <w:bidi w:val="0"/>
        <w:adjustRightInd w:val="0"/>
        <w:snapToGrid w:val="0"/>
        <w:spacing w:line="400" w:lineRule="exact"/>
        <w:ind w:left="0" w:leftChars="0" w:right="0" w:firstLine="420" w:firstLineChars="200"/>
        <w:jc w:val="left"/>
        <w:outlineLvl w:val="9"/>
        <w:rPr>
          <w:rFonts w:hAnsi="宋体"/>
          <w:kern w:val="0"/>
          <w:szCs w:val="21"/>
        </w:rPr>
      </w:pPr>
      <w:r>
        <w:rPr>
          <w:rFonts w:hint="eastAsia" w:hAnsi="宋体"/>
          <w:kern w:val="0"/>
          <w:szCs w:val="21"/>
        </w:rPr>
        <w:t>10、现场维保技术人员名单、资格证书及简介；</w:t>
      </w:r>
    </w:p>
    <w:p>
      <w:pPr>
        <w:keepNext w:val="0"/>
        <w:keepLines w:val="0"/>
        <w:pageBreakBefore w:val="0"/>
        <w:kinsoku/>
        <w:wordWrap/>
        <w:overflowPunct/>
        <w:topLinePunct w:val="0"/>
        <w:autoSpaceDE w:val="0"/>
        <w:autoSpaceDN w:val="0"/>
        <w:bidi w:val="0"/>
        <w:adjustRightInd w:val="0"/>
        <w:snapToGrid w:val="0"/>
        <w:spacing w:line="400" w:lineRule="exact"/>
        <w:ind w:left="0" w:leftChars="0" w:right="0" w:firstLine="420" w:firstLineChars="200"/>
        <w:jc w:val="left"/>
        <w:outlineLvl w:val="9"/>
        <w:rPr>
          <w:rFonts w:hAnsi="宋体"/>
          <w:kern w:val="0"/>
          <w:szCs w:val="21"/>
        </w:rPr>
      </w:pPr>
      <w:r>
        <w:rPr>
          <w:rFonts w:hint="eastAsia" w:hAnsi="宋体"/>
          <w:kern w:val="0"/>
          <w:szCs w:val="21"/>
        </w:rPr>
        <w:t>11、本地固定服务场所及维保人员证明材料；</w:t>
      </w:r>
    </w:p>
    <w:p>
      <w:pPr>
        <w:pStyle w:val="7"/>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rPr>
          <w:bCs/>
          <w:sz w:val="21"/>
        </w:rPr>
      </w:pPr>
      <w:r>
        <w:rPr>
          <w:rFonts w:hint="eastAsia"/>
          <w:bCs/>
          <w:sz w:val="21"/>
        </w:rPr>
        <w:t>上述资料均需加盖谈判响应单位公章，需要法定代表人或委托代理人签字盖章的地方须按要求签署，若未按上述要求签署的谈判响应文件，招标代理机构有权要求谈判响应单位法定代表人或委托代理人按要求补签，拒绝补签的谈判响应文件招标代理机构有权拒绝。</w:t>
      </w:r>
    </w:p>
    <w:p>
      <w:pPr>
        <w:pStyle w:val="7"/>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rPr>
          <w:bCs/>
          <w:sz w:val="21"/>
        </w:rPr>
      </w:pPr>
      <w:r>
        <w:rPr>
          <w:rFonts w:hint="eastAsia"/>
          <w:bCs/>
          <w:sz w:val="21"/>
        </w:rPr>
        <w:t>（二）谈判响应文件的制作、装订与密封要求：</w:t>
      </w:r>
    </w:p>
    <w:p>
      <w:pPr>
        <w:pStyle w:val="7"/>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rPr>
          <w:bCs/>
          <w:sz w:val="21"/>
        </w:rPr>
      </w:pPr>
      <w:r>
        <w:rPr>
          <w:rFonts w:hint="eastAsia"/>
          <w:bCs/>
          <w:sz w:val="21"/>
        </w:rPr>
        <w:t>1、谈判响应文件应用不褪色的黑色墨水书写或打印；谈判响应文件不应有涂改、增删和字迹潦草之处，如有必须修改的，修改处必须有法定代表人或委托代理人的签章；</w:t>
      </w:r>
    </w:p>
    <w:p>
      <w:pPr>
        <w:pStyle w:val="7"/>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rPr>
          <w:bCs/>
          <w:sz w:val="21"/>
        </w:rPr>
      </w:pPr>
      <w:r>
        <w:rPr>
          <w:rFonts w:hint="eastAsia"/>
          <w:bCs/>
          <w:sz w:val="21"/>
        </w:rPr>
        <w:t>2、请谈判响应单位按照上述谈判响应文件组成制作谈判响应文件并装订成册，谈判响应文件封面自行制作，封面需注明：采购编号、采购单元号、采购内容、采购单位以及谈判响应单位名称、正副本等信息，并加盖谈判响应单位公章；</w:t>
      </w:r>
    </w:p>
    <w:p>
      <w:pPr>
        <w:pStyle w:val="7"/>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rPr>
          <w:bCs/>
          <w:sz w:val="21"/>
        </w:rPr>
      </w:pPr>
      <w:r>
        <w:rPr>
          <w:rFonts w:hint="eastAsia"/>
          <w:bCs/>
          <w:sz w:val="21"/>
        </w:rPr>
        <w:t>3、响应单位的被授权人须带身份证明原件至谈判现场核实身份。</w:t>
      </w:r>
    </w:p>
    <w:p>
      <w:pPr>
        <w:keepNext w:val="0"/>
        <w:keepLines w:val="0"/>
        <w:pageBreakBefore w:val="0"/>
        <w:kinsoku/>
        <w:wordWrap/>
        <w:overflowPunct/>
        <w:topLinePunct w:val="0"/>
        <w:autoSpaceDE w:val="0"/>
        <w:autoSpaceDN w:val="0"/>
        <w:bidi w:val="0"/>
        <w:adjustRightInd w:val="0"/>
        <w:snapToGrid w:val="0"/>
        <w:spacing w:line="400" w:lineRule="exact"/>
        <w:ind w:left="0" w:leftChars="0" w:right="0" w:firstLine="420" w:firstLineChars="200"/>
        <w:jc w:val="left"/>
        <w:outlineLvl w:val="9"/>
      </w:pPr>
      <w:r>
        <w:rPr>
          <w:rFonts w:hint="eastAsia"/>
          <w:szCs w:val="21"/>
          <w:lang w:val="zh-CN"/>
        </w:rPr>
        <w:t>七、谈判程序：</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rPr>
          <w:rFonts w:hint="eastAsia"/>
          <w:lang w:eastAsia="zh-CN"/>
        </w:rPr>
      </w:pPr>
      <w:r>
        <w:rPr>
          <w:rFonts w:hint="eastAsia"/>
        </w:rPr>
        <w:t>1、</w:t>
      </w:r>
      <w:r>
        <w:rPr>
          <w:rFonts w:hint="eastAsia"/>
          <w:lang w:eastAsia="zh-CN"/>
        </w:rPr>
        <w:t>开标采用线上腾讯会议形式进行。</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pPr>
      <w:r>
        <w:rPr>
          <w:rFonts w:hint="eastAsia"/>
          <w:lang w:val="en-US" w:eastAsia="zh-CN"/>
        </w:rPr>
        <w:t>2、</w:t>
      </w:r>
      <w:r>
        <w:rPr>
          <w:rFonts w:hint="eastAsia"/>
        </w:rPr>
        <w:t>参加谈判的供应商法定代表人或授权代理人应携带本人身份证明报到。</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pPr>
      <w:r>
        <w:rPr>
          <w:rFonts w:hint="eastAsia"/>
          <w:lang w:val="en-US" w:eastAsia="zh-CN"/>
        </w:rPr>
        <w:t>3</w:t>
      </w:r>
      <w:r>
        <w:rPr>
          <w:rFonts w:hint="eastAsia"/>
        </w:rPr>
        <w:t>、谈判供应商按顺序分别进行谈判。</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pPr>
      <w:r>
        <w:rPr>
          <w:rFonts w:hint="eastAsia"/>
          <w:lang w:val="en-US" w:eastAsia="zh-CN"/>
        </w:rPr>
        <w:t>4</w:t>
      </w:r>
      <w:r>
        <w:rPr>
          <w:rFonts w:hint="eastAsia"/>
        </w:rPr>
        <w:t>、由谈判小组（谈判小组由相关专家及采购人代表组成）按谈判文件的资格条件进行资格性审查，确定合格谈判供应商。</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pPr>
      <w:r>
        <w:rPr>
          <w:rFonts w:hint="eastAsia"/>
          <w:lang w:val="en-US" w:eastAsia="zh-CN"/>
        </w:rPr>
        <w:t>5</w:t>
      </w:r>
      <w:r>
        <w:rPr>
          <w:rFonts w:hint="eastAsia"/>
        </w:rPr>
        <w:t>、谈判小组所有成员集中与单一供应商分别就价格、服务方案、人员安排等内容进行谈判与沟通，确定其是否满足谈判要求。谈判文件如有实质性变动的，谈判小组应当以书面形式通知所有参加谈判的供应商。</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pPr>
      <w:r>
        <w:rPr>
          <w:rFonts w:hint="eastAsia"/>
          <w:lang w:val="en-US" w:eastAsia="zh-CN"/>
        </w:rPr>
        <w:t>6</w:t>
      </w:r>
      <w:r>
        <w:rPr>
          <w:rFonts w:hint="eastAsia"/>
        </w:rPr>
        <w:t>、各供应商根据谈判过程中谈判小组的要求做出新的书面承诺（报价除外）</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pPr>
      <w:r>
        <w:rPr>
          <w:rFonts w:hint="eastAsia"/>
          <w:lang w:val="en-US" w:eastAsia="zh-CN"/>
        </w:rPr>
        <w:t>7</w:t>
      </w:r>
      <w:r>
        <w:rPr>
          <w:rFonts w:hint="eastAsia"/>
        </w:rPr>
        <w:t>、谈判小组</w:t>
      </w:r>
      <w:r>
        <w:t>各成员独立对每个</w:t>
      </w:r>
      <w:r>
        <w:rPr>
          <w:rFonts w:hint="eastAsia"/>
        </w:rPr>
        <w:t>供应商</w:t>
      </w:r>
      <w:r>
        <w:t>的</w:t>
      </w:r>
      <w:r>
        <w:rPr>
          <w:rFonts w:hint="eastAsia"/>
        </w:rPr>
        <w:t>谈判响应文件（包括新的书面承诺）按谈判文件规定的评审办法进行评审并给出评审意见。</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pPr>
      <w:r>
        <w:rPr>
          <w:rFonts w:hint="eastAsia"/>
        </w:rPr>
        <w:t>如投标人提供虚假材料，将按“政府采购法”相关规定处理并由政府监管部门给予严肃处理。</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pPr>
      <w:r>
        <w:rPr>
          <w:rFonts w:hint="eastAsia"/>
          <w:lang w:val="en-US" w:eastAsia="zh-CN"/>
        </w:rPr>
        <w:t>8</w:t>
      </w:r>
      <w:r>
        <w:rPr>
          <w:rFonts w:hint="eastAsia"/>
        </w:rPr>
        <w:t>、谈判小组根据谈判成交原则确定</w:t>
      </w:r>
      <w:r>
        <w:t>成交供应商，并将结果通知所有参加谈判的未成交的供应商。</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pPr>
      <w:r>
        <w:rPr>
          <w:rFonts w:hint="eastAsia"/>
          <w:lang w:eastAsia="zh-CN"/>
        </w:rPr>
        <w:t>八</w:t>
      </w:r>
      <w:r>
        <w:t>、谈判成交原则及评审内容：</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pPr>
      <w:r>
        <w:t>（一）谈判成交原则：</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pPr>
      <w:r>
        <w:t>1、本次谈判采用最低评标价法，即在全部满足采购文件实质性要求即资格性和符合性评审合格的前提下，以提出最低报价且不超过采购预算的谈判供应商作为成交供应商。</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pPr>
      <w:r>
        <w:t>2、谈判小组各成员独立对谈判供应商的谈判响应文件按照谈判文件的规定和要求进行资格性和符合性评审，如评审内容条款均满足谈判文件要求的，则认为该供应商谈判文件评审合格。如某一条款内容评审不合格，评委须注明评审不合格原因。</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pPr>
      <w:r>
        <w:t>3、如某一评审条款出现评委意见不一致时，则按少数服从多数的原则，确定该项条款是否合格。在评审合格的响应文件中以提出最低报价的谈判供应商作为成交供应商。如出现两个或两个以上最终报价相同的谈判供应商，则由采购方以抽签方式确定成交供应商。</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pPr>
      <w:r>
        <w:t>4、如谈判小组认为排在前面的成交候选供应商的最低报价或者某些分项报价明显不合理或者低于成本，有可能影响服务质量或不能诚信履约的，则谈判小组有权要求其在规定的期限内提供书面文件予以解释说明，并提交相关证明材料；否则，谈判小组可以取消该供应商的成交候选资格，按顺序由排在后面的成交候选供应商递补，以此类推。</w:t>
      </w:r>
    </w:p>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pPr>
      <w:r>
        <w:rPr>
          <w:rFonts w:hint="eastAsia"/>
        </w:rPr>
        <w:t>（二）</w:t>
      </w:r>
      <w:r>
        <w:rPr>
          <w:rFonts w:hint="eastAsia"/>
          <w:lang w:val="en-US" w:eastAsia="zh-CN"/>
        </w:rPr>
        <w:t>评标方法</w:t>
      </w:r>
      <w:r>
        <w:rPr>
          <w:rFonts w:hint="eastAsia"/>
        </w:rPr>
        <w:t>：</w:t>
      </w:r>
    </w:p>
    <w:p>
      <w:pPr>
        <w:pStyle w:val="2"/>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rPr>
          <w:rFonts w:ascii="宋体" w:hAnsi="宋体"/>
          <w:kern w:val="0"/>
          <w:sz w:val="21"/>
          <w:szCs w:val="21"/>
        </w:rPr>
      </w:pPr>
      <w:r>
        <w:rPr>
          <w:rFonts w:ascii="宋体" w:hAnsi="宋体"/>
          <w:kern w:val="0"/>
          <w:sz w:val="21"/>
          <w:szCs w:val="21"/>
        </w:rPr>
        <w:t>评标方法采用综合评分法。即在最大限度地满足采购文件实质性要求前提下，按照采购文件中规定的各项因素进行综合评审。</w:t>
      </w:r>
    </w:p>
    <w:p>
      <w:pPr>
        <w:pStyle w:val="2"/>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rPr>
          <w:rFonts w:ascii="宋体" w:hAnsi="宋体"/>
          <w:kern w:val="0"/>
          <w:sz w:val="21"/>
          <w:szCs w:val="21"/>
        </w:rPr>
      </w:pPr>
      <w:r>
        <w:rPr>
          <w:rFonts w:ascii="宋体" w:hAnsi="宋体"/>
          <w:kern w:val="0"/>
          <w:sz w:val="21"/>
          <w:szCs w:val="21"/>
        </w:rPr>
        <w:t>综合评分的主要因素为：价格、</w:t>
      </w:r>
      <w:r>
        <w:rPr>
          <w:rFonts w:hint="eastAsia" w:ascii="宋体" w:hAnsi="宋体"/>
          <w:kern w:val="0"/>
          <w:sz w:val="21"/>
          <w:szCs w:val="21"/>
        </w:rPr>
        <w:t>检测方案、履约能力等</w:t>
      </w:r>
      <w:r>
        <w:rPr>
          <w:rFonts w:ascii="宋体" w:hAnsi="宋体"/>
          <w:kern w:val="0"/>
          <w:sz w:val="21"/>
          <w:szCs w:val="21"/>
        </w:rPr>
        <w:t>对采购文件的响应程度，以及相应的商务标和技术标比重或者分值等。</w:t>
      </w:r>
    </w:p>
    <w:p>
      <w:pPr>
        <w:pStyle w:val="2"/>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rPr>
          <w:rFonts w:ascii="宋体" w:hAnsi="宋体"/>
          <w:kern w:val="0"/>
          <w:sz w:val="21"/>
          <w:szCs w:val="21"/>
        </w:rPr>
      </w:pPr>
      <w:r>
        <w:rPr>
          <w:rFonts w:ascii="宋体" w:hAnsi="宋体"/>
          <w:kern w:val="0"/>
          <w:sz w:val="21"/>
          <w:szCs w:val="21"/>
        </w:rPr>
        <w:t>评标时，评标委员会分别对每个有效投标人的投标书（报价除外）进行评价、打分，按算术平均方法计算出每个投标人的得分；报价得分直接计算取得，二者相加为投标人的总得分。</w:t>
      </w:r>
      <w:r>
        <w:rPr>
          <w:rFonts w:hint="eastAsia" w:ascii="宋体" w:hAnsi="宋体"/>
          <w:kern w:val="0"/>
          <w:sz w:val="21"/>
          <w:szCs w:val="21"/>
        </w:rPr>
        <w:t>按得分从高到低顺序，推荐中标候选单位。</w:t>
      </w:r>
    </w:p>
    <w:tbl>
      <w:tblPr>
        <w:tblStyle w:val="9"/>
        <w:tblW w:w="4814" w:type="pct"/>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20" w:type="dxa"/>
          <w:left w:w="108" w:type="dxa"/>
          <w:bottom w:w="20" w:type="dxa"/>
          <w:right w:w="108" w:type="dxa"/>
        </w:tblCellMar>
      </w:tblPr>
      <w:tblGrid>
        <w:gridCol w:w="694"/>
        <w:gridCol w:w="1155"/>
        <w:gridCol w:w="691"/>
        <w:gridCol w:w="5671"/>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trHeight w:val="398" w:hRule="atLeast"/>
          <w:jc w:val="center"/>
        </w:trPr>
        <w:tc>
          <w:tcPr>
            <w:tcW w:w="1546" w:type="pct"/>
            <w:gridSpan w:val="3"/>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评分项</w:t>
            </w:r>
          </w:p>
        </w:tc>
        <w:tc>
          <w:tcPr>
            <w:tcW w:w="3453"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权重</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trHeight w:val="409" w:hRule="atLeast"/>
          <w:jc w:val="center"/>
        </w:trPr>
        <w:tc>
          <w:tcPr>
            <w:tcW w:w="1546" w:type="pct"/>
            <w:gridSpan w:val="3"/>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投标报价</w:t>
            </w:r>
          </w:p>
        </w:tc>
        <w:tc>
          <w:tcPr>
            <w:tcW w:w="3453"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40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jc w:val="center"/>
        </w:trPr>
        <w:tc>
          <w:tcPr>
            <w:tcW w:w="5000" w:type="pct"/>
            <w:gridSpan w:val="4"/>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left="0" w:leftChars="0" w:right="0" w:firstLine="420" w:firstLineChars="200"/>
              <w:jc w:val="left"/>
              <w:outlineLvl w:val="9"/>
            </w:pPr>
            <w:r>
              <w:rPr>
                <w:rFonts w:hint="eastAsia"/>
              </w:rPr>
              <w:t>所有满足招标文件资格要求且报价在预算范围内的投标人的总报价中，二次报价中的最低价格为基准价格；等于基准价格为40分；其他投标人的价格分统一按照下列公式计算：投标报价得分＝（评标基准价/投标报价）× 40% ×100。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trHeight w:val="471" w:hRule="atLeast"/>
          <w:jc w:val="center"/>
        </w:trPr>
        <w:tc>
          <w:tcPr>
            <w:tcW w:w="1546" w:type="pct"/>
            <w:gridSpan w:val="3"/>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技术服务部分</w:t>
            </w:r>
          </w:p>
        </w:tc>
        <w:tc>
          <w:tcPr>
            <w:tcW w:w="3453"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rPr>
                <w:rFonts w:hint="default" w:eastAsia="宋体"/>
                <w:lang w:val="en-US" w:eastAsia="zh-CN"/>
              </w:rPr>
            </w:pPr>
            <w:r>
              <w:rPr>
                <w:rFonts w:hint="eastAsia"/>
                <w:lang w:val="en-US" w:eastAsia="zh-CN"/>
              </w:rPr>
              <w:t>30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422"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rPr>
                <w:rFonts w:hint="eastAsia" w:eastAsia="宋体"/>
                <w:lang w:eastAsia="zh-CN"/>
              </w:rPr>
            </w:pPr>
            <w:r>
              <w:rPr>
                <w:rFonts w:hint="eastAsia"/>
                <w:lang w:eastAsia="zh-CN"/>
              </w:rPr>
              <w:t>序号</w:t>
            </w:r>
          </w:p>
        </w:tc>
        <w:tc>
          <w:tcPr>
            <w:tcW w:w="703"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rPr>
                <w:rFonts w:hint="eastAsia" w:eastAsia="宋体"/>
                <w:lang w:eastAsia="zh-CN"/>
              </w:rPr>
            </w:pPr>
            <w:r>
              <w:rPr>
                <w:rFonts w:hint="eastAsia"/>
                <w:lang w:eastAsia="zh-CN"/>
              </w:rPr>
              <w:t>评分因素</w:t>
            </w:r>
          </w:p>
        </w:tc>
        <w:tc>
          <w:tcPr>
            <w:tcW w:w="420"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rPr>
                <w:rFonts w:hint="eastAsia"/>
                <w:lang w:val="en-US" w:eastAsia="zh-CN"/>
              </w:rPr>
            </w:pPr>
            <w:r>
              <w:rPr>
                <w:rFonts w:hint="eastAsia"/>
                <w:lang w:val="en-US" w:eastAsia="zh-CN"/>
              </w:rPr>
              <w:t>权重</w:t>
            </w:r>
          </w:p>
        </w:tc>
        <w:tc>
          <w:tcPr>
            <w:tcW w:w="3453"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rPr>
                <w:rFonts w:hint="eastAsia" w:eastAsia="宋体"/>
                <w:lang w:eastAsia="zh-CN"/>
              </w:rPr>
            </w:pPr>
            <w:r>
              <w:rPr>
                <w:rFonts w:hint="eastAsia"/>
                <w:lang w:eastAsia="zh-CN"/>
              </w:rPr>
              <w:t>评分准则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422"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（1）</w:t>
            </w:r>
          </w:p>
        </w:tc>
        <w:tc>
          <w:tcPr>
            <w:tcW w:w="703"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项目实施方案</w:t>
            </w:r>
          </w:p>
        </w:tc>
        <w:tc>
          <w:tcPr>
            <w:tcW w:w="420"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rPr>
                <w:rFonts w:hint="default" w:eastAsia="宋体"/>
                <w:lang w:val="en-US" w:eastAsia="zh-CN"/>
              </w:rPr>
            </w:pPr>
            <w:r>
              <w:rPr>
                <w:rFonts w:hint="eastAsia"/>
                <w:lang w:val="en-US" w:eastAsia="zh-CN"/>
              </w:rPr>
              <w:t>10</w:t>
            </w:r>
          </w:p>
        </w:tc>
        <w:tc>
          <w:tcPr>
            <w:tcW w:w="3453"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left"/>
              <w:outlineLvl w:val="9"/>
            </w:pPr>
            <w:r>
              <w:rPr>
                <w:rFonts w:hint="eastAsia"/>
              </w:rPr>
              <w:t>维保方案、故障响应时间及处理方案：（1）非常完善、具体，工作内容全面，对项目管理中的重难点、风险点、工作计划有合理有效的分析，方案可靠、可行、措施得力。（</w:t>
            </w:r>
            <w:r>
              <w:rPr>
                <w:rFonts w:hint="eastAsia"/>
                <w:lang w:val="en-US" w:eastAsia="zh-CN"/>
              </w:rPr>
              <w:t>9</w:t>
            </w:r>
            <w:r>
              <w:rPr>
                <w:rFonts w:hint="eastAsia"/>
              </w:rPr>
              <w:t>-</w:t>
            </w:r>
            <w:r>
              <w:rPr>
                <w:rFonts w:hint="eastAsia"/>
                <w:lang w:val="en-US" w:eastAsia="zh-CN"/>
              </w:rPr>
              <w:t>10</w:t>
            </w:r>
            <w:r>
              <w:rPr>
                <w:rFonts w:hint="eastAsia"/>
              </w:rPr>
              <w:t>分）（2）较完善、具体，工作内容较全面，对项目管理中的重难点、风险点、工作计划有较合理的分析和建议，方案较可靠、可行。（</w:t>
            </w:r>
            <w:r>
              <w:rPr>
                <w:rFonts w:hint="eastAsia"/>
                <w:lang w:val="en-US" w:eastAsia="zh-CN"/>
              </w:rPr>
              <w:t>6</w:t>
            </w:r>
            <w:r>
              <w:rPr>
                <w:rFonts w:hint="eastAsia"/>
              </w:rPr>
              <w:t>-</w:t>
            </w:r>
            <w:r>
              <w:rPr>
                <w:rFonts w:hint="eastAsia"/>
                <w:lang w:val="en-US" w:eastAsia="zh-CN"/>
              </w:rPr>
              <w:t>8</w:t>
            </w:r>
            <w:r>
              <w:rPr>
                <w:rFonts w:hint="eastAsia"/>
              </w:rPr>
              <w:t>分） （3）基本完整，工作内容基本全面，对工作重难点有建议，方案基本可行（</w:t>
            </w:r>
            <w:r>
              <w:rPr>
                <w:rFonts w:hint="eastAsia"/>
                <w:lang w:val="en-US" w:eastAsia="zh-CN"/>
              </w:rPr>
              <w:t>3</w:t>
            </w:r>
            <w:r>
              <w:rPr>
                <w:rFonts w:hint="eastAsia"/>
              </w:rPr>
              <w:t>-</w:t>
            </w:r>
            <w:r>
              <w:rPr>
                <w:rFonts w:hint="eastAsia"/>
                <w:lang w:val="en-US" w:eastAsia="zh-CN"/>
              </w:rPr>
              <w:t>5</w:t>
            </w:r>
            <w:r>
              <w:rPr>
                <w:rFonts w:hint="eastAsia"/>
              </w:rPr>
              <w:t>分） （4）不够具体详细、工作内容不够明细（0-2分）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422"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（2）</w:t>
            </w:r>
          </w:p>
        </w:tc>
        <w:tc>
          <w:tcPr>
            <w:tcW w:w="703"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质量控制</w:t>
            </w:r>
          </w:p>
        </w:tc>
        <w:tc>
          <w:tcPr>
            <w:tcW w:w="420"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10</w:t>
            </w:r>
          </w:p>
        </w:tc>
        <w:tc>
          <w:tcPr>
            <w:tcW w:w="3453"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left"/>
              <w:outlineLvl w:val="9"/>
            </w:pPr>
            <w:r>
              <w:rPr>
                <w:rFonts w:hint="eastAsia"/>
              </w:rPr>
              <w:t>实施质量及安全保障措施、方法和手段：（1）很完整，考虑周到，各措施、方法具体、可行（10分） （2）较完整，各措施、方法可行（6分） （3）基本能保证满足项目的开展（2分） （4）不详细的（0-2分）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422"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（3）</w:t>
            </w:r>
          </w:p>
        </w:tc>
        <w:tc>
          <w:tcPr>
            <w:tcW w:w="703"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关键的额外服务承诺</w:t>
            </w:r>
          </w:p>
        </w:tc>
        <w:tc>
          <w:tcPr>
            <w:tcW w:w="420"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5</w:t>
            </w:r>
          </w:p>
        </w:tc>
        <w:tc>
          <w:tcPr>
            <w:tcW w:w="3453"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left"/>
              <w:outlineLvl w:val="9"/>
            </w:pPr>
            <w:r>
              <w:rPr>
                <w:rFonts w:hint="eastAsia"/>
              </w:rPr>
              <w:t>根据实际业务需求，提供关键的额外服务承诺的：（1）提供4项及以上服务承诺，保障项目的高效高质量完成（5分） （2）提供3项服务承诺（4分） （3）提供2项服务承诺（3分） （4）提供1项服务承诺（2分） 备注：如没有做出额外服务承诺，或者只提供较少与本项目无关的非关键额外服务承诺则得0分。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422"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（4）</w:t>
            </w:r>
          </w:p>
        </w:tc>
        <w:tc>
          <w:tcPr>
            <w:tcW w:w="703"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投入配件</w:t>
            </w:r>
            <w:r>
              <w:rPr>
                <w:rFonts w:hint="eastAsia"/>
                <w:lang w:eastAsia="zh-CN"/>
              </w:rPr>
              <w:t>、</w:t>
            </w:r>
            <w:r>
              <w:rPr>
                <w:rFonts w:hint="eastAsia"/>
              </w:rPr>
              <w:t>工具</w:t>
            </w:r>
          </w:p>
        </w:tc>
        <w:tc>
          <w:tcPr>
            <w:tcW w:w="420"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5</w:t>
            </w:r>
          </w:p>
        </w:tc>
        <w:tc>
          <w:tcPr>
            <w:tcW w:w="3453"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left"/>
              <w:outlineLvl w:val="9"/>
              <w:rPr>
                <w:rFonts w:hint="eastAsia"/>
                <w:lang w:eastAsia="zh-CN"/>
              </w:rPr>
            </w:pPr>
            <w:r>
              <w:rPr>
                <w:rFonts w:hint="eastAsia"/>
              </w:rPr>
              <w:t>针对本项目免费提供的配件、易损易耗件、工具等清单（至少含扳手、老虎钳、螺丝刀、铁锤），</w:t>
            </w:r>
            <w:r>
              <w:rPr>
                <w:rFonts w:hint="eastAsia" w:ascii="Calibri" w:hAnsi="Calibri"/>
                <w:kern w:val="2"/>
              </w:rPr>
              <w:t>满足得</w:t>
            </w:r>
            <w:r>
              <w:rPr>
                <w:rFonts w:hint="eastAsia" w:ascii="Calibri" w:hAnsi="Calibri"/>
                <w:kern w:val="2"/>
                <w:lang w:val="en-US" w:eastAsia="zh-CN"/>
              </w:rPr>
              <w:t>5</w:t>
            </w:r>
            <w:r>
              <w:rPr>
                <w:rFonts w:hint="eastAsia" w:ascii="Calibri" w:hAnsi="Calibri"/>
                <w:kern w:val="2"/>
              </w:rPr>
              <w:t>分；</w:t>
            </w:r>
            <w:r>
              <w:rPr>
                <w:rFonts w:hint="eastAsia" w:ascii="Calibri" w:hAnsi="Calibri"/>
                <w:kern w:val="2"/>
                <w:lang w:eastAsia="zh-CN"/>
              </w:rPr>
              <w:t>基本满足得</w:t>
            </w:r>
            <w:r>
              <w:rPr>
                <w:rFonts w:hint="eastAsia" w:ascii="Calibri" w:hAnsi="Calibri"/>
                <w:kern w:val="2"/>
                <w:lang w:val="en-US" w:eastAsia="zh-CN"/>
              </w:rPr>
              <w:t>3分；不满足得0分。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trHeight w:val="517" w:hRule="atLeast"/>
          <w:jc w:val="center"/>
        </w:trPr>
        <w:tc>
          <w:tcPr>
            <w:tcW w:w="1546" w:type="pct"/>
            <w:gridSpan w:val="3"/>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附加部分</w:t>
            </w:r>
          </w:p>
        </w:tc>
        <w:tc>
          <w:tcPr>
            <w:tcW w:w="3453"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rPr>
                <w:rFonts w:hint="default" w:eastAsia="宋体"/>
                <w:lang w:val="en-US" w:eastAsia="zh-CN"/>
              </w:rPr>
            </w:pPr>
            <w:r>
              <w:rPr>
                <w:rFonts w:hint="eastAsia"/>
                <w:lang w:val="en-US" w:eastAsia="zh-CN"/>
              </w:rPr>
              <w:t>30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jc w:val="center"/>
        </w:trPr>
        <w:tc>
          <w:tcPr>
            <w:tcW w:w="422"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rightChars="0"/>
              <w:jc w:val="center"/>
              <w:outlineLvl w:val="9"/>
              <w:rPr>
                <w:rFonts w:hint="eastAsia" w:ascii="Times New Roman" w:hAnsi="Times New Roman" w:eastAsia="宋体" w:cs="Times New Roman"/>
                <w:kern w:val="2"/>
                <w:sz w:val="21"/>
                <w:szCs w:val="24"/>
                <w:lang w:val="en-US" w:eastAsia="zh-CN" w:bidi="ar-SA"/>
              </w:rPr>
            </w:pPr>
            <w:r>
              <w:rPr>
                <w:rFonts w:hint="eastAsia"/>
                <w:lang w:eastAsia="zh-CN"/>
              </w:rPr>
              <w:t>序号</w:t>
            </w:r>
          </w:p>
        </w:tc>
        <w:tc>
          <w:tcPr>
            <w:tcW w:w="703"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rightChars="0"/>
              <w:jc w:val="center"/>
              <w:outlineLvl w:val="9"/>
              <w:rPr>
                <w:rFonts w:hint="eastAsia" w:ascii="Times New Roman" w:hAnsi="Times New Roman" w:eastAsia="宋体" w:cs="Times New Roman"/>
                <w:kern w:val="2"/>
                <w:sz w:val="21"/>
                <w:szCs w:val="24"/>
                <w:lang w:val="en-US" w:eastAsia="zh-CN" w:bidi="ar-SA"/>
              </w:rPr>
            </w:pPr>
            <w:r>
              <w:rPr>
                <w:rFonts w:hint="eastAsia"/>
                <w:lang w:eastAsia="zh-CN"/>
              </w:rPr>
              <w:t>评分因素</w:t>
            </w:r>
          </w:p>
        </w:tc>
        <w:tc>
          <w:tcPr>
            <w:tcW w:w="420"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rightChars="0"/>
              <w:jc w:val="center"/>
              <w:outlineLvl w:val="9"/>
              <w:rPr>
                <w:rFonts w:hint="eastAsia" w:ascii="Times New Roman" w:hAnsi="Times New Roman" w:eastAsia="宋体" w:cs="Times New Roman"/>
                <w:kern w:val="2"/>
                <w:sz w:val="21"/>
                <w:szCs w:val="24"/>
                <w:lang w:val="en-US" w:eastAsia="zh-CN" w:bidi="ar-SA"/>
              </w:rPr>
            </w:pPr>
            <w:r>
              <w:rPr>
                <w:rFonts w:hint="eastAsia"/>
                <w:lang w:val="en-US" w:eastAsia="zh-CN"/>
              </w:rPr>
              <w:t>权重</w:t>
            </w:r>
          </w:p>
        </w:tc>
        <w:tc>
          <w:tcPr>
            <w:tcW w:w="3453"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rightChars="0"/>
              <w:jc w:val="center"/>
              <w:outlineLvl w:val="9"/>
              <w:rPr>
                <w:rFonts w:hint="eastAsia" w:ascii="Times New Roman" w:hAnsi="Times New Roman" w:eastAsia="宋体" w:cs="Times New Roman"/>
                <w:kern w:val="2"/>
                <w:sz w:val="21"/>
                <w:szCs w:val="24"/>
                <w:lang w:val="en-US" w:eastAsia="zh-CN" w:bidi="ar-SA"/>
              </w:rPr>
            </w:pPr>
            <w:r>
              <w:rPr>
                <w:rFonts w:hint="eastAsia"/>
                <w:lang w:eastAsia="zh-CN"/>
              </w:rPr>
              <w:t>评分准则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422"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（1）</w:t>
            </w:r>
          </w:p>
        </w:tc>
        <w:tc>
          <w:tcPr>
            <w:tcW w:w="703"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同类项目业绩</w:t>
            </w:r>
          </w:p>
        </w:tc>
        <w:tc>
          <w:tcPr>
            <w:tcW w:w="420"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rPr>
                <w:rFonts w:hint="default" w:eastAsia="宋体"/>
                <w:lang w:val="en-US" w:eastAsia="zh-CN"/>
              </w:rPr>
            </w:pPr>
            <w:r>
              <w:rPr>
                <w:rFonts w:hint="eastAsia"/>
                <w:lang w:val="en-US" w:eastAsia="zh-CN"/>
              </w:rPr>
              <w:t>20</w:t>
            </w:r>
          </w:p>
        </w:tc>
        <w:tc>
          <w:tcPr>
            <w:tcW w:w="3453"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left"/>
              <w:outlineLvl w:val="9"/>
            </w:pPr>
            <w:r>
              <w:rPr>
                <w:rFonts w:hint="eastAsia"/>
              </w:rPr>
              <w:t>投标人在20</w:t>
            </w:r>
            <w:r>
              <w:rPr>
                <w:rFonts w:hint="eastAsia"/>
                <w:lang w:val="en-US" w:eastAsia="zh-CN"/>
              </w:rPr>
              <w:t>17</w:t>
            </w:r>
            <w:r>
              <w:rPr>
                <w:rFonts w:hint="eastAsia"/>
              </w:rPr>
              <w:t>至今承接过的</w:t>
            </w:r>
            <w:r>
              <w:rPr>
                <w:rFonts w:hint="eastAsia"/>
                <w:lang w:val="en-US" w:eastAsia="zh-CN"/>
              </w:rPr>
              <w:t>医院</w:t>
            </w:r>
            <w:r>
              <w:rPr>
                <w:rFonts w:hint="eastAsia"/>
              </w:rPr>
              <w:t>机械式停车设备类同类项目业绩，</w:t>
            </w:r>
            <w:r>
              <w:rPr>
                <w:rFonts w:hint="eastAsia"/>
                <w:lang w:val="en-US" w:eastAsia="zh-CN"/>
              </w:rPr>
              <w:t>每有一份得4分，满分20分</w:t>
            </w:r>
            <w:r>
              <w:rPr>
                <w:rFonts w:hint="eastAsia"/>
              </w:rPr>
              <w:t>（须提供合同复印件，原件备查）</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422"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（2）</w:t>
            </w:r>
          </w:p>
        </w:tc>
        <w:tc>
          <w:tcPr>
            <w:tcW w:w="703"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维保工作人员</w:t>
            </w:r>
          </w:p>
        </w:tc>
        <w:tc>
          <w:tcPr>
            <w:tcW w:w="420"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rPr>
                <w:rFonts w:hint="eastAsia" w:eastAsia="宋体"/>
                <w:lang w:val="en-US" w:eastAsia="zh-CN"/>
              </w:rPr>
            </w:pPr>
            <w:r>
              <w:rPr>
                <w:rFonts w:hint="eastAsia"/>
                <w:lang w:val="en-US" w:eastAsia="zh-CN"/>
              </w:rPr>
              <w:t>6</w:t>
            </w:r>
          </w:p>
        </w:tc>
        <w:tc>
          <w:tcPr>
            <w:tcW w:w="3453"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left"/>
              <w:outlineLvl w:val="9"/>
            </w:pPr>
            <w:r>
              <w:rPr>
                <w:rFonts w:hint="eastAsia"/>
              </w:rPr>
              <w:t>资质：具备特种设备作业人员从业资格证得</w:t>
            </w:r>
            <w:r>
              <w:rPr>
                <w:rFonts w:hint="eastAsia"/>
                <w:lang w:val="en-US" w:eastAsia="zh-CN"/>
              </w:rPr>
              <w:t>2</w:t>
            </w:r>
            <w:r>
              <w:rPr>
                <w:rFonts w:hint="eastAsia"/>
              </w:rPr>
              <w:t>分/人，得分最高不超过</w:t>
            </w:r>
            <w:r>
              <w:rPr>
                <w:rFonts w:hint="eastAsia"/>
                <w:lang w:val="en-US" w:eastAsia="zh-CN"/>
              </w:rPr>
              <w:t>6</w:t>
            </w:r>
            <w:r>
              <w:rPr>
                <w:rFonts w:hint="eastAsia"/>
              </w:rPr>
              <w:t>分。（相关证书复印件附内，原件备查</w:t>
            </w:r>
            <w:r>
              <w:rPr>
                <w:rFonts w:hint="eastAsia"/>
                <w:lang w:eastAsia="zh-CN"/>
              </w:rPr>
              <w:t>）</w:t>
            </w:r>
            <w:r>
              <w:rPr>
                <w:rFonts w:hint="eastAsia"/>
              </w:rPr>
              <w:t xml:space="preserve">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422"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（3）</w:t>
            </w:r>
          </w:p>
        </w:tc>
        <w:tc>
          <w:tcPr>
            <w:tcW w:w="703"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pPr>
            <w:r>
              <w:rPr>
                <w:rFonts w:hint="eastAsia"/>
              </w:rPr>
              <w:t>快速响应优势</w:t>
            </w:r>
          </w:p>
        </w:tc>
        <w:tc>
          <w:tcPr>
            <w:tcW w:w="420"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center"/>
              <w:outlineLvl w:val="9"/>
              <w:rPr>
                <w:rFonts w:hint="eastAsia" w:eastAsia="宋体"/>
                <w:lang w:val="en-US" w:eastAsia="zh-CN"/>
              </w:rPr>
            </w:pPr>
            <w:r>
              <w:rPr>
                <w:rFonts w:hint="eastAsia"/>
                <w:lang w:val="en-US" w:eastAsia="zh-CN"/>
              </w:rPr>
              <w:t>4</w:t>
            </w:r>
          </w:p>
        </w:tc>
        <w:tc>
          <w:tcPr>
            <w:tcW w:w="3453" w:type="pct"/>
            <w:tcBorders>
              <w:top w:val="single" w:color="000000" w:sz="8" w:space="0"/>
              <w:left w:val="single" w:color="000000" w:sz="8" w:space="0"/>
              <w:bottom w:val="single" w:color="000000" w:sz="8" w:space="0"/>
              <w:right w:val="single" w:color="000000" w:sz="8" w:space="0"/>
            </w:tcBorders>
            <w:vAlign w:val="center"/>
          </w:tcPr>
          <w:p>
            <w:pPr>
              <w:keepNext w:val="0"/>
              <w:keepLines w:val="0"/>
              <w:pageBreakBefore w:val="0"/>
              <w:kinsoku/>
              <w:wordWrap/>
              <w:overflowPunct/>
              <w:topLinePunct w:val="0"/>
              <w:bidi w:val="0"/>
              <w:adjustRightInd w:val="0"/>
              <w:snapToGrid w:val="0"/>
              <w:spacing w:line="400" w:lineRule="exact"/>
              <w:ind w:right="0"/>
              <w:jc w:val="left"/>
              <w:outlineLvl w:val="9"/>
            </w:pPr>
            <w:r>
              <w:rPr>
                <w:rFonts w:hint="eastAsia"/>
              </w:rPr>
              <w:t>根据各投标人快速响应采购人服务要求、沟通联系渠道的可行性及优越性进行比较评审：（1）承诺在1小时内快速响应采购人服务要求的，得</w:t>
            </w:r>
            <w:r>
              <w:rPr>
                <w:rFonts w:hint="eastAsia"/>
                <w:lang w:val="en-US" w:eastAsia="zh-CN"/>
              </w:rPr>
              <w:t>4</w:t>
            </w:r>
            <w:r>
              <w:rPr>
                <w:rFonts w:hint="eastAsia"/>
              </w:rPr>
              <w:t>分； （2）承诺在</w:t>
            </w:r>
            <w:r>
              <w:rPr>
                <w:rFonts w:hint="eastAsia"/>
                <w:lang w:val="en-US" w:eastAsia="zh-CN"/>
              </w:rPr>
              <w:t>2</w:t>
            </w:r>
            <w:r>
              <w:rPr>
                <w:rFonts w:hint="eastAsia"/>
              </w:rPr>
              <w:t>小时内快速响应要求的，得</w:t>
            </w:r>
            <w:r>
              <w:rPr>
                <w:rFonts w:hint="eastAsia"/>
                <w:lang w:val="en-US" w:eastAsia="zh-CN"/>
              </w:rPr>
              <w:t>3</w:t>
            </w:r>
            <w:r>
              <w:rPr>
                <w:rFonts w:hint="eastAsia"/>
              </w:rPr>
              <w:t>分； （3）承诺在</w:t>
            </w:r>
            <w:r>
              <w:rPr>
                <w:rFonts w:hint="eastAsia"/>
                <w:lang w:val="en-US" w:eastAsia="zh-CN"/>
              </w:rPr>
              <w:t>4</w:t>
            </w:r>
            <w:r>
              <w:rPr>
                <w:rFonts w:hint="eastAsia"/>
              </w:rPr>
              <w:t>小时内响应要求的，得1分</w:t>
            </w:r>
            <w:r>
              <w:rPr>
                <w:rFonts w:hint="eastAsia"/>
                <w:lang w:eastAsia="zh-CN"/>
              </w:rPr>
              <w:t>；</w:t>
            </w:r>
            <w:r>
              <w:rPr>
                <w:rFonts w:hint="eastAsia"/>
              </w:rPr>
              <w:t>（</w:t>
            </w:r>
            <w:r>
              <w:rPr>
                <w:rFonts w:hint="eastAsia"/>
                <w:lang w:val="en-US" w:eastAsia="zh-CN"/>
              </w:rPr>
              <w:t>4</w:t>
            </w:r>
            <w:r>
              <w:rPr>
                <w:rFonts w:hint="eastAsia"/>
              </w:rPr>
              <w:t>）</w:t>
            </w:r>
            <w:r>
              <w:rPr>
                <w:rFonts w:hint="eastAsia"/>
                <w:lang w:eastAsia="zh-CN"/>
              </w:rPr>
              <w:t>未承诺的，得</w:t>
            </w:r>
            <w:r>
              <w:rPr>
                <w:rFonts w:hint="eastAsia"/>
                <w:lang w:val="en-US" w:eastAsia="zh-CN"/>
              </w:rPr>
              <w:t>0分。</w:t>
            </w:r>
            <w:r>
              <w:rPr>
                <w:rFonts w:hint="eastAsia"/>
              </w:rPr>
              <w:t xml:space="preserve"> 注：（须提供快速响应服务承诺书，参考见附件）。</w:t>
            </w:r>
          </w:p>
        </w:tc>
      </w:tr>
    </w:tbl>
    <w:p>
      <w:pPr>
        <w:spacing w:line="400" w:lineRule="exact"/>
        <w:ind w:right="-159" w:firstLine="420" w:firstLineChars="200"/>
      </w:pPr>
    </w:p>
    <w:p>
      <w:pPr>
        <w:spacing w:line="400" w:lineRule="exact"/>
        <w:ind w:right="-159" w:firstLine="420" w:firstLineChars="200"/>
        <w:rPr>
          <w:b/>
          <w:bCs/>
        </w:rPr>
      </w:pPr>
      <w:r>
        <w:br w:type="page"/>
      </w:r>
      <w:r>
        <w:rPr>
          <w:rFonts w:hint="eastAsia"/>
          <w:b/>
          <w:bCs/>
        </w:rPr>
        <w:t>格式</w:t>
      </w:r>
      <w:r>
        <w:rPr>
          <w:b/>
          <w:bCs/>
        </w:rPr>
        <w:t>1</w:t>
      </w:r>
      <w:r>
        <w:rPr>
          <w:rFonts w:hint="eastAsia"/>
          <w:b/>
          <w:bCs/>
        </w:rPr>
        <w:t>：</w:t>
      </w:r>
      <w:r>
        <w:rPr>
          <w:b/>
          <w:bCs/>
        </w:rPr>
        <w:t xml:space="preserve">                            </w:t>
      </w:r>
    </w:p>
    <w:p>
      <w:pPr>
        <w:jc w:val="center"/>
        <w:rPr>
          <w:rFonts w:ascii="宋体" w:hAnsi="宋体"/>
          <w:b/>
          <w:szCs w:val="21"/>
        </w:rPr>
      </w:pPr>
    </w:p>
    <w:p>
      <w:pPr>
        <w:jc w:val="center"/>
        <w:rPr>
          <w:rFonts w:ascii="宋体" w:hAnsi="宋体"/>
          <w:b/>
          <w:sz w:val="48"/>
          <w:szCs w:val="48"/>
        </w:rPr>
      </w:pPr>
      <w:r>
        <w:rPr>
          <w:rFonts w:hint="eastAsia" w:ascii="宋体" w:hAnsi="宋体"/>
          <w:b/>
          <w:sz w:val="48"/>
          <w:szCs w:val="48"/>
        </w:rPr>
        <w:t>供应商报价表</w:t>
      </w:r>
    </w:p>
    <w:p>
      <w:pPr>
        <w:jc w:val="center"/>
        <w:rPr>
          <w:rFonts w:ascii="宋体" w:hAnsi="宋体"/>
          <w:b/>
          <w:sz w:val="10"/>
          <w:szCs w:val="10"/>
        </w:rPr>
      </w:pPr>
    </w:p>
    <w:tbl>
      <w:tblPr>
        <w:tblStyle w:val="9"/>
        <w:tblW w:w="8100"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50" w:hRule="atLeast"/>
        </w:trPr>
        <w:tc>
          <w:tcPr>
            <w:tcW w:w="8100" w:type="dxa"/>
          </w:tcPr>
          <w:p>
            <w:pPr>
              <w:jc w:val="left"/>
              <w:rPr>
                <w:b/>
                <w:color w:val="000000"/>
                <w:sz w:val="10"/>
                <w:szCs w:val="10"/>
              </w:rPr>
            </w:pPr>
          </w:p>
          <w:p>
            <w:pPr>
              <w:jc w:val="left"/>
              <w:rPr>
                <w:b/>
                <w:color w:val="000000"/>
                <w:sz w:val="28"/>
                <w:szCs w:val="28"/>
              </w:rPr>
            </w:pPr>
            <w:r>
              <w:rPr>
                <w:rFonts w:hint="eastAsia"/>
                <w:b/>
                <w:color w:val="000000"/>
                <w:sz w:val="28"/>
                <w:szCs w:val="28"/>
              </w:rPr>
              <w:t>采购编号：</w:t>
            </w:r>
            <w:r>
              <w:rPr>
                <w:rFonts w:hint="eastAsia"/>
                <w:color w:val="000000"/>
                <w:sz w:val="28"/>
                <w:szCs w:val="28"/>
                <w:u w:val="single"/>
              </w:rPr>
              <w:t xml:space="preserve">                              </w:t>
            </w:r>
            <w:r>
              <w:rPr>
                <w:rFonts w:hint="eastAsia"/>
                <w:b/>
                <w:color w:val="000000"/>
                <w:sz w:val="28"/>
                <w:szCs w:val="28"/>
              </w:rPr>
              <w:t xml:space="preserve">                       </w:t>
            </w:r>
          </w:p>
          <w:p>
            <w:pPr>
              <w:jc w:val="left"/>
              <w:rPr>
                <w:b/>
                <w:color w:val="000000"/>
                <w:sz w:val="28"/>
                <w:szCs w:val="28"/>
              </w:rPr>
            </w:pPr>
            <w:r>
              <w:rPr>
                <w:rFonts w:hint="eastAsia"/>
                <w:b/>
                <w:color w:val="000000"/>
                <w:sz w:val="28"/>
                <w:szCs w:val="28"/>
              </w:rPr>
              <w:t>公司名称：______________________________</w:t>
            </w:r>
          </w:p>
          <w:p>
            <w:pPr>
              <w:jc w:val="left"/>
              <w:rPr>
                <w:b/>
                <w:color w:val="000000"/>
                <w:sz w:val="28"/>
                <w:szCs w:val="28"/>
              </w:rPr>
            </w:pPr>
          </w:p>
          <w:p>
            <w:pPr>
              <w:jc w:val="left"/>
              <w:rPr>
                <w:b/>
                <w:color w:val="000000"/>
                <w:sz w:val="28"/>
                <w:szCs w:val="28"/>
              </w:rPr>
            </w:pPr>
            <w:r>
              <w:rPr>
                <w:rFonts w:hint="eastAsia"/>
                <w:b/>
                <w:color w:val="000000"/>
                <w:sz w:val="28"/>
                <w:szCs w:val="28"/>
              </w:rPr>
              <w:t>投标价格：（人民币:元）</w:t>
            </w:r>
          </w:p>
          <w:p>
            <w:pPr>
              <w:jc w:val="left"/>
              <w:rPr>
                <w:b/>
                <w:color w:val="000000"/>
                <w:sz w:val="28"/>
                <w:szCs w:val="28"/>
              </w:rPr>
            </w:pPr>
            <w:r>
              <w:rPr>
                <w:rFonts w:hint="eastAsia"/>
                <w:b/>
                <w:color w:val="000000"/>
                <w:sz w:val="28"/>
                <w:szCs w:val="28"/>
              </w:rPr>
              <w:t xml:space="preserve">         小写：_________________________</w:t>
            </w:r>
          </w:p>
          <w:p>
            <w:pPr>
              <w:jc w:val="left"/>
              <w:rPr>
                <w:b/>
                <w:color w:val="000000"/>
                <w:sz w:val="28"/>
                <w:szCs w:val="28"/>
              </w:rPr>
            </w:pPr>
            <w:r>
              <w:rPr>
                <w:rFonts w:hint="eastAsia"/>
                <w:b/>
                <w:color w:val="000000"/>
                <w:sz w:val="28"/>
                <w:szCs w:val="28"/>
              </w:rPr>
              <w:t xml:space="preserve">         大写：_________________________</w:t>
            </w:r>
          </w:p>
          <w:p>
            <w:pPr>
              <w:jc w:val="left"/>
              <w:rPr>
                <w:b/>
                <w:color w:val="000000"/>
                <w:sz w:val="28"/>
                <w:szCs w:val="28"/>
              </w:rPr>
            </w:pPr>
            <w:r>
              <w:rPr>
                <w:rFonts w:hint="eastAsia"/>
                <w:b/>
                <w:color w:val="000000"/>
                <w:sz w:val="28"/>
                <w:szCs w:val="28"/>
              </w:rPr>
              <w:t>其它承诺：_____________________________________________</w:t>
            </w:r>
          </w:p>
          <w:p>
            <w:pPr>
              <w:jc w:val="left"/>
              <w:rPr>
                <w:b/>
                <w:color w:val="000000"/>
                <w:sz w:val="28"/>
                <w:szCs w:val="28"/>
              </w:rPr>
            </w:pPr>
            <w:r>
              <w:rPr>
                <w:rFonts w:hint="eastAsia"/>
                <w:b/>
                <w:color w:val="000000"/>
                <w:sz w:val="28"/>
                <w:szCs w:val="28"/>
              </w:rPr>
              <w:t>_______________________________________________________</w:t>
            </w:r>
          </w:p>
          <w:p>
            <w:pPr>
              <w:jc w:val="left"/>
              <w:rPr>
                <w:b/>
                <w:color w:val="000000"/>
                <w:sz w:val="28"/>
                <w:szCs w:val="28"/>
              </w:rPr>
            </w:pPr>
            <w:r>
              <w:rPr>
                <w:rFonts w:hint="eastAsia"/>
                <w:b/>
                <w:color w:val="000000"/>
                <w:sz w:val="28"/>
                <w:szCs w:val="28"/>
              </w:rPr>
              <w:t>_______________________________________________________</w:t>
            </w:r>
          </w:p>
          <w:p>
            <w:pPr>
              <w:jc w:val="left"/>
              <w:rPr>
                <w:b/>
                <w:color w:val="000000"/>
                <w:sz w:val="28"/>
                <w:szCs w:val="28"/>
              </w:rPr>
            </w:pPr>
            <w:r>
              <w:rPr>
                <w:rFonts w:hint="eastAsia"/>
                <w:b/>
                <w:color w:val="000000"/>
                <w:sz w:val="28"/>
                <w:szCs w:val="28"/>
              </w:rPr>
              <w:t>_______________________________________________________</w:t>
            </w:r>
          </w:p>
          <w:p>
            <w:pPr>
              <w:jc w:val="left"/>
              <w:rPr>
                <w:b/>
                <w:color w:val="000000"/>
                <w:sz w:val="28"/>
                <w:szCs w:val="28"/>
              </w:rPr>
            </w:pPr>
            <w:r>
              <w:rPr>
                <w:rFonts w:hint="eastAsia"/>
                <w:b/>
                <w:color w:val="000000"/>
                <w:sz w:val="28"/>
                <w:szCs w:val="28"/>
              </w:rPr>
              <w:t>_______________________________________________________</w:t>
            </w:r>
          </w:p>
          <w:p>
            <w:pPr>
              <w:jc w:val="left"/>
              <w:rPr>
                <w:b/>
                <w:color w:val="000000"/>
                <w:sz w:val="28"/>
                <w:szCs w:val="28"/>
              </w:rPr>
            </w:pPr>
            <w:r>
              <w:rPr>
                <w:rFonts w:hint="eastAsia"/>
                <w:b/>
                <w:color w:val="000000"/>
                <w:sz w:val="28"/>
                <w:szCs w:val="28"/>
              </w:rPr>
              <w:t>_______________________________________________________</w:t>
            </w:r>
          </w:p>
          <w:p>
            <w:pPr>
              <w:jc w:val="left"/>
              <w:rPr>
                <w:b/>
                <w:color w:val="000000"/>
                <w:sz w:val="28"/>
                <w:szCs w:val="28"/>
              </w:rPr>
            </w:pPr>
            <w:r>
              <w:rPr>
                <w:rFonts w:hint="eastAsia"/>
                <w:b/>
                <w:color w:val="000000"/>
                <w:sz w:val="28"/>
                <w:szCs w:val="28"/>
              </w:rPr>
              <w:t>_______________________________________________________</w:t>
            </w:r>
          </w:p>
          <w:p>
            <w:pPr>
              <w:jc w:val="left"/>
              <w:rPr>
                <w:b/>
                <w:color w:val="000000"/>
                <w:sz w:val="28"/>
                <w:szCs w:val="28"/>
              </w:rPr>
            </w:pPr>
            <w:r>
              <w:rPr>
                <w:rFonts w:hint="eastAsia"/>
                <w:b/>
                <w:color w:val="000000"/>
                <w:sz w:val="28"/>
                <w:szCs w:val="28"/>
              </w:rPr>
              <w:t>_______________________________________________________</w:t>
            </w:r>
          </w:p>
          <w:p>
            <w:pPr>
              <w:jc w:val="left"/>
              <w:rPr>
                <w:b/>
                <w:color w:val="000000"/>
                <w:sz w:val="28"/>
                <w:szCs w:val="28"/>
              </w:rPr>
            </w:pPr>
          </w:p>
          <w:p>
            <w:pPr>
              <w:jc w:val="left"/>
              <w:rPr>
                <w:b/>
                <w:color w:val="000000"/>
                <w:sz w:val="28"/>
                <w:szCs w:val="28"/>
              </w:rPr>
            </w:pPr>
          </w:p>
          <w:p>
            <w:pPr>
              <w:jc w:val="left"/>
              <w:rPr>
                <w:b/>
                <w:color w:val="000000"/>
                <w:sz w:val="28"/>
                <w:szCs w:val="28"/>
              </w:rPr>
            </w:pPr>
            <w:r>
              <w:rPr>
                <w:rFonts w:hint="eastAsia"/>
                <w:b/>
                <w:color w:val="000000"/>
                <w:sz w:val="28"/>
                <w:szCs w:val="28"/>
              </w:rPr>
              <w:t>法定代表人或授权委托人签字：____________________</w:t>
            </w:r>
          </w:p>
          <w:p>
            <w:pPr>
              <w:jc w:val="left"/>
              <w:rPr>
                <w:b/>
                <w:color w:val="000000"/>
                <w:sz w:val="28"/>
                <w:szCs w:val="28"/>
              </w:rPr>
            </w:pPr>
            <w:r>
              <w:rPr>
                <w:rFonts w:hint="eastAsia"/>
                <w:b/>
                <w:color w:val="000000"/>
                <w:sz w:val="28"/>
                <w:szCs w:val="28"/>
              </w:rPr>
              <w:t>日期：_____________________</w:t>
            </w:r>
          </w:p>
          <w:p>
            <w:pPr>
              <w:jc w:val="left"/>
              <w:rPr>
                <w:b/>
                <w:color w:val="000000"/>
                <w:sz w:val="28"/>
                <w:szCs w:val="28"/>
              </w:rPr>
            </w:pPr>
          </w:p>
        </w:tc>
      </w:tr>
    </w:tbl>
    <w:p>
      <w:pPr>
        <w:spacing w:line="360" w:lineRule="auto"/>
        <w:jc w:val="left"/>
        <w:rPr>
          <w:b/>
          <w:bCs/>
        </w:rPr>
      </w:pPr>
      <w:r>
        <w:rPr>
          <w:b/>
          <w:bCs/>
        </w:rPr>
        <w:br w:type="page"/>
      </w:r>
      <w:r>
        <w:rPr>
          <w:rFonts w:hint="eastAsia"/>
          <w:b/>
          <w:bCs/>
        </w:rPr>
        <w:t>格式</w:t>
      </w:r>
      <w:r>
        <w:rPr>
          <w:b/>
          <w:bCs/>
        </w:rPr>
        <w:t>2</w:t>
      </w:r>
      <w:r>
        <w:rPr>
          <w:rFonts w:hint="eastAsia"/>
          <w:b/>
          <w:bCs/>
        </w:rPr>
        <w:t>：</w:t>
      </w:r>
    </w:p>
    <w:p>
      <w:pPr>
        <w:autoSpaceDE w:val="0"/>
        <w:autoSpaceDN w:val="0"/>
        <w:adjustRightInd w:val="0"/>
        <w:spacing w:line="360" w:lineRule="auto"/>
        <w:jc w:val="center"/>
        <w:rPr>
          <w:rFonts w:ascii="黑体" w:eastAsia="黑体"/>
          <w:b/>
          <w:sz w:val="32"/>
          <w:szCs w:val="32"/>
        </w:rPr>
      </w:pPr>
      <w:r>
        <w:rPr>
          <w:rFonts w:hint="eastAsia" w:ascii="黑体" w:eastAsia="黑体"/>
          <w:b/>
          <w:sz w:val="32"/>
          <w:szCs w:val="32"/>
          <w:lang w:val="zh-CN"/>
        </w:rPr>
        <w:t>谈判承诺函</w:t>
      </w:r>
    </w:p>
    <w:p>
      <w:pPr>
        <w:autoSpaceDE w:val="0"/>
        <w:autoSpaceDN w:val="0"/>
        <w:adjustRightInd w:val="0"/>
        <w:spacing w:line="380" w:lineRule="exact"/>
      </w:pPr>
      <w:r>
        <w:rPr>
          <w:rFonts w:hint="eastAsia"/>
          <w:u w:val="single"/>
          <w:lang w:val="zh-CN"/>
        </w:rPr>
        <w:t>苏州科技城医院</w:t>
      </w:r>
      <w:r>
        <w:rPr>
          <w:lang w:val="zh-CN"/>
        </w:rPr>
        <w:t>：</w:t>
      </w:r>
    </w:p>
    <w:p>
      <w:pPr>
        <w:autoSpaceDE w:val="0"/>
        <w:autoSpaceDN w:val="0"/>
        <w:adjustRightInd w:val="0"/>
        <w:spacing w:line="380" w:lineRule="exact"/>
        <w:ind w:firstLine="420" w:firstLineChars="200"/>
      </w:pPr>
      <w:r>
        <w:rPr>
          <w:lang w:val="zh-CN"/>
        </w:rPr>
        <w:t xml:space="preserve">我方收到贵公司 </w:t>
      </w:r>
      <w:r>
        <w:rPr>
          <w:u w:val="single"/>
          <w:lang w:val="zh-CN"/>
        </w:rPr>
        <w:t xml:space="preserve">       </w:t>
      </w:r>
      <w:r>
        <w:rPr>
          <w:rFonts w:hint="eastAsia"/>
          <w:u w:val="single"/>
          <w:lang w:val="zh-CN"/>
        </w:rPr>
        <w:t xml:space="preserve">                             </w:t>
      </w:r>
      <w:r>
        <w:rPr>
          <w:u w:val="single"/>
          <w:lang w:val="zh-CN"/>
        </w:rPr>
        <w:t xml:space="preserve">    </w:t>
      </w:r>
      <w:r>
        <w:rPr>
          <w:lang w:val="zh-CN"/>
        </w:rPr>
        <w:t>号</w:t>
      </w:r>
      <w:r>
        <w:rPr>
          <w:rFonts w:hint="eastAsia"/>
          <w:lang w:val="zh-CN"/>
        </w:rPr>
        <w:t>谈判采购</w:t>
      </w:r>
      <w:r>
        <w:rPr>
          <w:lang w:val="zh-CN"/>
        </w:rPr>
        <w:t>文件，经仔细阅读和研究，我方决定参加</w:t>
      </w:r>
      <w:r>
        <w:rPr>
          <w:rFonts w:hint="eastAsia"/>
          <w:lang w:val="zh-CN"/>
        </w:rPr>
        <w:t>谈判</w:t>
      </w:r>
      <w:r>
        <w:rPr>
          <w:lang w:val="zh-CN"/>
        </w:rPr>
        <w:t>。</w:t>
      </w:r>
      <w:r>
        <w:rPr>
          <w:rFonts w:hint="eastAsia"/>
          <w:lang w:val="zh-CN"/>
        </w:rPr>
        <w:t>并向贵公司承诺：</w:t>
      </w:r>
    </w:p>
    <w:p>
      <w:pPr>
        <w:autoSpaceDE w:val="0"/>
        <w:autoSpaceDN w:val="0"/>
        <w:adjustRightInd w:val="0"/>
        <w:spacing w:line="380" w:lineRule="exact"/>
        <w:ind w:firstLine="412" w:firstLineChars="200"/>
      </w:pPr>
      <w:r>
        <w:rPr>
          <w:spacing w:val="-2"/>
          <w:lang w:val="zh-CN"/>
        </w:rPr>
        <w:t>1、</w:t>
      </w:r>
      <w:r>
        <w:t>我方愿意按照</w:t>
      </w:r>
      <w:r>
        <w:rPr>
          <w:rFonts w:hint="eastAsia"/>
        </w:rPr>
        <w:t>采购</w:t>
      </w:r>
      <w:r>
        <w:t>文件的一切要求，提供本项目的所有内容，我方的</w:t>
      </w:r>
      <w:r>
        <w:rPr>
          <w:rFonts w:hint="eastAsia"/>
        </w:rPr>
        <w:t>响应</w:t>
      </w:r>
      <w:r>
        <w:t>报价包括</w:t>
      </w:r>
      <w:r>
        <w:rPr>
          <w:rFonts w:hint="eastAsia"/>
        </w:rPr>
        <w:t>人工费，差旅费，物流费，备件费等相关费用。</w:t>
      </w:r>
    </w:p>
    <w:p>
      <w:pPr>
        <w:pStyle w:val="12"/>
        <w:spacing w:line="380" w:lineRule="exact"/>
        <w:ind w:firstLine="420" w:firstLineChars="200"/>
        <w:rPr>
          <w:rFonts w:ascii="Times New Roman" w:hAnsi="Times New Roman" w:eastAsia="宋体"/>
          <w:spacing w:val="-4"/>
          <w:kern w:val="2"/>
          <w:sz w:val="21"/>
          <w:szCs w:val="21"/>
          <w:lang w:val="zh-CN"/>
        </w:rPr>
      </w:pPr>
      <w:r>
        <w:rPr>
          <w:rFonts w:ascii="Times New Roman" w:hAnsi="Times New Roman" w:eastAsia="宋体"/>
          <w:kern w:val="2"/>
          <w:sz w:val="21"/>
          <w:szCs w:val="24"/>
          <w:lang w:val="zh-CN"/>
        </w:rPr>
        <w:t>2、</w:t>
      </w:r>
      <w:r>
        <w:rPr>
          <w:rFonts w:ascii="Times New Roman" w:hAnsi="Times New Roman" w:eastAsia="宋体"/>
          <w:spacing w:val="-4"/>
          <w:kern w:val="2"/>
          <w:sz w:val="21"/>
          <w:szCs w:val="21"/>
          <w:lang w:val="zh-CN"/>
        </w:rPr>
        <w:t>如果我方的</w:t>
      </w:r>
      <w:r>
        <w:rPr>
          <w:rFonts w:hint="eastAsia" w:ascii="Times New Roman" w:hAnsi="Times New Roman" w:eastAsia="宋体"/>
          <w:spacing w:val="-4"/>
          <w:kern w:val="2"/>
          <w:sz w:val="21"/>
          <w:szCs w:val="21"/>
          <w:lang w:val="zh-CN"/>
        </w:rPr>
        <w:t>谈判响应文件</w:t>
      </w:r>
      <w:r>
        <w:rPr>
          <w:rFonts w:ascii="Times New Roman" w:hAnsi="Times New Roman" w:eastAsia="宋体"/>
          <w:spacing w:val="-4"/>
          <w:kern w:val="2"/>
          <w:sz w:val="21"/>
          <w:szCs w:val="21"/>
          <w:lang w:val="zh-CN"/>
        </w:rPr>
        <w:t>被接受，我方将严格履行</w:t>
      </w:r>
      <w:r>
        <w:rPr>
          <w:rFonts w:hint="eastAsia" w:ascii="Times New Roman" w:hAnsi="Times New Roman" w:eastAsia="宋体"/>
          <w:spacing w:val="-4"/>
          <w:kern w:val="2"/>
          <w:sz w:val="21"/>
          <w:szCs w:val="21"/>
          <w:lang w:val="zh-CN"/>
        </w:rPr>
        <w:t>谈判采购</w:t>
      </w:r>
      <w:r>
        <w:rPr>
          <w:rFonts w:ascii="Times New Roman" w:hAnsi="Times New Roman" w:eastAsia="宋体"/>
          <w:spacing w:val="-4"/>
          <w:kern w:val="2"/>
          <w:sz w:val="21"/>
          <w:szCs w:val="21"/>
          <w:lang w:val="zh-CN"/>
        </w:rPr>
        <w:t>文件中规定的每一项要求</w:t>
      </w:r>
      <w:r>
        <w:rPr>
          <w:rFonts w:hint="eastAsia" w:ascii="Times New Roman" w:hAnsi="Times New Roman" w:eastAsia="宋体"/>
          <w:spacing w:val="-4"/>
          <w:kern w:val="2"/>
          <w:sz w:val="21"/>
          <w:szCs w:val="21"/>
          <w:lang w:val="zh-CN"/>
        </w:rPr>
        <w:t>。</w:t>
      </w:r>
    </w:p>
    <w:p>
      <w:pPr>
        <w:pStyle w:val="12"/>
        <w:spacing w:line="380" w:lineRule="exact"/>
        <w:ind w:firstLine="420" w:firstLineChars="200"/>
        <w:rPr>
          <w:rFonts w:ascii="Times New Roman" w:hAnsi="Times New Roman" w:eastAsia="宋体"/>
          <w:kern w:val="2"/>
          <w:sz w:val="21"/>
          <w:szCs w:val="24"/>
          <w:lang w:val="zh-CN"/>
        </w:rPr>
      </w:pPr>
      <w:r>
        <w:rPr>
          <w:rFonts w:hint="eastAsia" w:ascii="Times New Roman" w:hAnsi="Times New Roman" w:eastAsia="宋体"/>
          <w:kern w:val="2"/>
          <w:sz w:val="21"/>
          <w:szCs w:val="24"/>
        </w:rPr>
        <w:t>3</w:t>
      </w:r>
      <w:r>
        <w:rPr>
          <w:rFonts w:ascii="Times New Roman" w:hAnsi="Times New Roman" w:eastAsia="宋体"/>
          <w:kern w:val="2"/>
          <w:sz w:val="21"/>
          <w:szCs w:val="24"/>
          <w:lang w:val="zh-CN"/>
        </w:rPr>
        <w:t>、我方愿意提供</w:t>
      </w:r>
      <w:r>
        <w:rPr>
          <w:rFonts w:hint="eastAsia" w:ascii="Times New Roman" w:hAnsi="Times New Roman" w:eastAsia="宋体"/>
          <w:kern w:val="2"/>
          <w:sz w:val="21"/>
          <w:szCs w:val="24"/>
          <w:lang w:val="zh-CN"/>
        </w:rPr>
        <w:t>贵</w:t>
      </w:r>
      <w:r>
        <w:rPr>
          <w:rFonts w:ascii="Times New Roman" w:hAnsi="Times New Roman" w:eastAsia="宋体"/>
          <w:kern w:val="2"/>
          <w:sz w:val="21"/>
          <w:szCs w:val="24"/>
          <w:lang w:val="zh-CN"/>
        </w:rPr>
        <w:t>方在</w:t>
      </w:r>
      <w:r>
        <w:rPr>
          <w:rFonts w:hint="eastAsia" w:ascii="Times New Roman" w:hAnsi="Times New Roman" w:eastAsia="宋体"/>
          <w:kern w:val="2"/>
          <w:sz w:val="21"/>
          <w:szCs w:val="24"/>
          <w:lang w:val="zh-CN"/>
        </w:rPr>
        <w:t>谈判采购</w:t>
      </w:r>
      <w:r>
        <w:rPr>
          <w:rFonts w:ascii="Times New Roman" w:hAnsi="Times New Roman" w:eastAsia="宋体"/>
          <w:kern w:val="2"/>
          <w:sz w:val="21"/>
          <w:szCs w:val="24"/>
          <w:lang w:val="zh-CN"/>
        </w:rPr>
        <w:t>文件中要求的所有资料。也同意向贵方提供贵方可能另外要求的与</w:t>
      </w:r>
      <w:r>
        <w:rPr>
          <w:rFonts w:hint="eastAsia" w:ascii="Times New Roman" w:hAnsi="Times New Roman" w:eastAsia="宋体"/>
          <w:kern w:val="2"/>
          <w:sz w:val="21"/>
          <w:szCs w:val="24"/>
          <w:lang w:val="zh-CN"/>
        </w:rPr>
        <w:t>我方谈判响应文件</w:t>
      </w:r>
      <w:r>
        <w:rPr>
          <w:rFonts w:ascii="Times New Roman" w:hAnsi="Times New Roman" w:eastAsia="宋体"/>
          <w:kern w:val="2"/>
          <w:sz w:val="21"/>
          <w:szCs w:val="24"/>
          <w:lang w:val="zh-CN"/>
        </w:rPr>
        <w:t>有关的任何证据或资料。并保证所提供的资料全部是真实的、有效的，若有虚假，我方愿承担一切责任。</w:t>
      </w:r>
    </w:p>
    <w:p>
      <w:pPr>
        <w:pStyle w:val="12"/>
        <w:spacing w:line="380" w:lineRule="exact"/>
        <w:ind w:firstLine="420" w:firstLineChars="200"/>
        <w:rPr>
          <w:rFonts w:ascii="Times New Roman" w:hAnsi="Times New Roman" w:eastAsia="宋体"/>
          <w:kern w:val="2"/>
          <w:sz w:val="21"/>
          <w:szCs w:val="24"/>
          <w:lang w:val="zh-CN"/>
        </w:rPr>
      </w:pPr>
      <w:r>
        <w:rPr>
          <w:rFonts w:hint="eastAsia" w:ascii="Times New Roman" w:hAnsi="Times New Roman" w:eastAsia="宋体"/>
          <w:kern w:val="2"/>
          <w:sz w:val="21"/>
          <w:szCs w:val="24"/>
        </w:rPr>
        <w:t>4</w:t>
      </w:r>
      <w:r>
        <w:rPr>
          <w:rFonts w:ascii="Times New Roman" w:hAnsi="Times New Roman" w:eastAsia="宋体"/>
          <w:kern w:val="2"/>
          <w:sz w:val="21"/>
          <w:szCs w:val="24"/>
          <w:lang w:val="zh-CN"/>
        </w:rPr>
        <w:t>、我方认为</w:t>
      </w:r>
      <w:r>
        <w:rPr>
          <w:rFonts w:hint="eastAsia" w:ascii="Times New Roman" w:hAnsi="Times New Roman" w:eastAsia="宋体"/>
          <w:kern w:val="2"/>
          <w:sz w:val="21"/>
          <w:szCs w:val="24"/>
          <w:lang w:val="zh-CN"/>
        </w:rPr>
        <w:t>贵方</w:t>
      </w:r>
      <w:r>
        <w:rPr>
          <w:rFonts w:ascii="Times New Roman" w:hAnsi="Times New Roman" w:eastAsia="宋体"/>
          <w:kern w:val="2"/>
          <w:sz w:val="21"/>
          <w:szCs w:val="24"/>
          <w:lang w:val="zh-CN"/>
        </w:rPr>
        <w:t>有权决定</w:t>
      </w:r>
      <w:r>
        <w:rPr>
          <w:rFonts w:hint="eastAsia" w:ascii="Times New Roman" w:hAnsi="Times New Roman" w:eastAsia="宋体"/>
          <w:kern w:val="2"/>
          <w:sz w:val="21"/>
          <w:szCs w:val="24"/>
          <w:lang w:val="zh-CN"/>
        </w:rPr>
        <w:t>成交</w:t>
      </w:r>
      <w:r>
        <w:rPr>
          <w:rFonts w:ascii="Times New Roman" w:hAnsi="Times New Roman" w:eastAsia="宋体"/>
          <w:kern w:val="2"/>
          <w:sz w:val="21"/>
          <w:szCs w:val="24"/>
          <w:lang w:val="zh-CN"/>
        </w:rPr>
        <w:t>者，还认为</w:t>
      </w:r>
      <w:r>
        <w:rPr>
          <w:rFonts w:hint="eastAsia" w:ascii="Times New Roman" w:hAnsi="Times New Roman" w:eastAsia="宋体"/>
          <w:kern w:val="2"/>
          <w:sz w:val="21"/>
          <w:szCs w:val="24"/>
          <w:lang w:val="zh-CN"/>
        </w:rPr>
        <w:t>贵方</w:t>
      </w:r>
      <w:r>
        <w:rPr>
          <w:rFonts w:ascii="Times New Roman" w:hAnsi="Times New Roman" w:eastAsia="宋体"/>
          <w:kern w:val="2"/>
          <w:sz w:val="21"/>
          <w:szCs w:val="24"/>
          <w:lang w:val="zh-CN"/>
        </w:rPr>
        <w:t>有权接受或拒绝所有的</w:t>
      </w:r>
      <w:r>
        <w:rPr>
          <w:rFonts w:hint="eastAsia" w:ascii="Times New Roman" w:hAnsi="Times New Roman" w:eastAsia="宋体"/>
          <w:kern w:val="2"/>
          <w:sz w:val="21"/>
          <w:szCs w:val="24"/>
          <w:lang w:val="zh-CN"/>
        </w:rPr>
        <w:t>供应商成交</w:t>
      </w:r>
      <w:r>
        <w:rPr>
          <w:rFonts w:ascii="Times New Roman" w:hAnsi="Times New Roman" w:eastAsia="宋体"/>
          <w:kern w:val="2"/>
          <w:sz w:val="21"/>
          <w:szCs w:val="24"/>
          <w:lang w:val="zh-CN"/>
        </w:rPr>
        <w:t>。</w:t>
      </w:r>
    </w:p>
    <w:p>
      <w:pPr>
        <w:pStyle w:val="12"/>
        <w:spacing w:line="380" w:lineRule="exact"/>
        <w:ind w:firstLine="420" w:firstLineChars="200"/>
        <w:rPr>
          <w:rFonts w:ascii="Times New Roman" w:hAnsi="Times New Roman" w:eastAsia="宋体"/>
          <w:kern w:val="2"/>
          <w:sz w:val="21"/>
          <w:szCs w:val="24"/>
          <w:lang w:val="zh-CN"/>
        </w:rPr>
      </w:pPr>
      <w:r>
        <w:rPr>
          <w:rFonts w:hint="eastAsia" w:ascii="Times New Roman" w:hAnsi="Times New Roman" w:eastAsia="宋体"/>
          <w:kern w:val="2"/>
          <w:sz w:val="21"/>
          <w:szCs w:val="24"/>
        </w:rPr>
        <w:t>5</w:t>
      </w:r>
      <w:r>
        <w:rPr>
          <w:rFonts w:hint="eastAsia" w:ascii="Times New Roman" w:hAnsi="Times New Roman" w:eastAsia="宋体"/>
          <w:kern w:val="2"/>
          <w:sz w:val="21"/>
          <w:szCs w:val="24"/>
          <w:lang w:val="zh-CN"/>
        </w:rPr>
        <w:t>、</w:t>
      </w:r>
      <w:r>
        <w:rPr>
          <w:rFonts w:ascii="Times New Roman" w:hAnsi="Times New Roman" w:eastAsia="宋体"/>
          <w:kern w:val="2"/>
          <w:sz w:val="21"/>
          <w:szCs w:val="24"/>
          <w:lang w:val="zh-CN"/>
        </w:rPr>
        <w:t>我方同意因</w:t>
      </w:r>
      <w:r>
        <w:rPr>
          <w:rFonts w:hint="eastAsia" w:ascii="Times New Roman" w:hAnsi="Times New Roman" w:eastAsia="宋体"/>
          <w:kern w:val="2"/>
          <w:sz w:val="21"/>
          <w:szCs w:val="24"/>
          <w:lang w:val="zh-CN"/>
        </w:rPr>
        <w:t>安装过程中的不当</w:t>
      </w:r>
      <w:r>
        <w:rPr>
          <w:rFonts w:ascii="Times New Roman" w:hAnsi="Times New Roman" w:eastAsia="宋体"/>
          <w:kern w:val="2"/>
          <w:sz w:val="21"/>
          <w:szCs w:val="24"/>
          <w:lang w:val="zh-CN"/>
        </w:rPr>
        <w:t>，造成</w:t>
      </w:r>
      <w:r>
        <w:rPr>
          <w:rFonts w:hint="eastAsia" w:ascii="Times New Roman" w:hAnsi="Times New Roman" w:eastAsia="宋体"/>
          <w:kern w:val="2"/>
          <w:sz w:val="21"/>
          <w:szCs w:val="24"/>
          <w:lang w:val="zh-CN"/>
        </w:rPr>
        <w:t>货物或就位现场</w:t>
      </w:r>
      <w:r>
        <w:rPr>
          <w:rFonts w:ascii="Times New Roman" w:hAnsi="Times New Roman" w:eastAsia="宋体"/>
          <w:kern w:val="2"/>
          <w:sz w:val="21"/>
          <w:szCs w:val="24"/>
          <w:lang w:val="zh-CN"/>
        </w:rPr>
        <w:t>的设施、设备等损坏的，</w:t>
      </w:r>
      <w:r>
        <w:rPr>
          <w:rFonts w:hint="eastAsia" w:ascii="Times New Roman" w:hAnsi="Times New Roman" w:eastAsia="宋体"/>
          <w:kern w:val="2"/>
          <w:sz w:val="21"/>
          <w:szCs w:val="24"/>
          <w:lang w:val="zh-CN"/>
        </w:rPr>
        <w:t>采购方有权要求我方全额赔偿</w:t>
      </w:r>
      <w:r>
        <w:rPr>
          <w:rFonts w:ascii="Times New Roman" w:hAnsi="Times New Roman" w:eastAsia="宋体"/>
          <w:kern w:val="2"/>
          <w:sz w:val="21"/>
          <w:szCs w:val="24"/>
          <w:lang w:val="zh-CN"/>
        </w:rPr>
        <w:t>。</w:t>
      </w:r>
    </w:p>
    <w:p>
      <w:pPr>
        <w:pStyle w:val="12"/>
        <w:spacing w:line="380" w:lineRule="exact"/>
        <w:ind w:firstLine="420" w:firstLineChars="200"/>
        <w:rPr>
          <w:rFonts w:ascii="Times New Roman" w:hAnsi="Times New Roman" w:eastAsia="宋体"/>
          <w:kern w:val="2"/>
          <w:sz w:val="21"/>
          <w:szCs w:val="24"/>
          <w:lang w:val="zh-CN"/>
        </w:rPr>
      </w:pPr>
      <w:r>
        <w:rPr>
          <w:rFonts w:hint="eastAsia" w:ascii="Times New Roman" w:hAnsi="Times New Roman" w:eastAsia="宋体"/>
          <w:kern w:val="2"/>
          <w:sz w:val="21"/>
          <w:szCs w:val="24"/>
        </w:rPr>
        <w:t>6</w:t>
      </w:r>
      <w:r>
        <w:rPr>
          <w:rFonts w:ascii="Times New Roman" w:hAnsi="Times New Roman" w:eastAsia="宋体"/>
          <w:kern w:val="2"/>
          <w:sz w:val="21"/>
          <w:szCs w:val="24"/>
          <w:lang w:val="zh-CN"/>
        </w:rPr>
        <w:t>、我方承诺</w:t>
      </w:r>
      <w:r>
        <w:rPr>
          <w:rFonts w:hint="eastAsia" w:ascii="Times New Roman" w:hAnsi="Times New Roman" w:eastAsia="宋体"/>
          <w:kern w:val="2"/>
          <w:sz w:val="21"/>
          <w:szCs w:val="24"/>
          <w:lang w:val="zh-CN"/>
        </w:rPr>
        <w:t>我方的响应文件在谈判</w:t>
      </w:r>
      <w:r>
        <w:rPr>
          <w:rFonts w:ascii="Times New Roman" w:hAnsi="Times New Roman" w:eastAsia="宋体"/>
          <w:kern w:val="2"/>
          <w:sz w:val="21"/>
          <w:szCs w:val="24"/>
          <w:lang w:val="zh-CN"/>
        </w:rPr>
        <w:t>后的全过程中保持有效，不作任何更改和变动。我方同</w:t>
      </w:r>
      <w:r>
        <w:rPr>
          <w:rFonts w:hint="eastAsia" w:ascii="Times New Roman" w:hAnsi="Times New Roman" w:eastAsia="宋体"/>
          <w:kern w:val="2"/>
          <w:sz w:val="21"/>
          <w:szCs w:val="24"/>
          <w:lang w:val="zh-CN"/>
        </w:rPr>
        <w:t>意被确定成交</w:t>
      </w:r>
      <w:r>
        <w:rPr>
          <w:rFonts w:ascii="Times New Roman" w:hAnsi="Times New Roman" w:eastAsia="宋体"/>
          <w:kern w:val="2"/>
          <w:sz w:val="21"/>
          <w:szCs w:val="24"/>
          <w:lang w:val="zh-CN"/>
        </w:rPr>
        <w:t>后若不履行</w:t>
      </w:r>
      <w:r>
        <w:rPr>
          <w:rFonts w:hint="eastAsia" w:ascii="Times New Roman" w:hAnsi="Times New Roman" w:eastAsia="宋体"/>
          <w:kern w:val="2"/>
          <w:sz w:val="21"/>
          <w:szCs w:val="24"/>
          <w:lang w:val="zh-CN"/>
        </w:rPr>
        <w:t>谈判响应文</w:t>
      </w:r>
      <w:r>
        <w:rPr>
          <w:rFonts w:ascii="Times New Roman" w:hAnsi="Times New Roman" w:eastAsia="宋体"/>
          <w:kern w:val="2"/>
          <w:sz w:val="21"/>
          <w:szCs w:val="24"/>
          <w:lang w:val="zh-CN"/>
        </w:rPr>
        <w:t>件的内容要求和各项承诺及义务的即被视为违约，</w:t>
      </w:r>
      <w:r>
        <w:rPr>
          <w:rFonts w:hint="eastAsia" w:ascii="Times New Roman" w:hAnsi="Times New Roman" w:eastAsia="宋体"/>
          <w:kern w:val="2"/>
          <w:sz w:val="21"/>
          <w:szCs w:val="24"/>
          <w:lang w:val="zh-CN"/>
        </w:rPr>
        <w:t>我方的成交</w:t>
      </w:r>
      <w:r>
        <w:rPr>
          <w:rFonts w:ascii="Times New Roman" w:hAnsi="Times New Roman" w:eastAsia="宋体"/>
          <w:kern w:val="2"/>
          <w:sz w:val="21"/>
          <w:szCs w:val="24"/>
          <w:lang w:val="zh-CN"/>
        </w:rPr>
        <w:t>资格将被取消。</w:t>
      </w:r>
    </w:p>
    <w:p>
      <w:pPr>
        <w:pStyle w:val="12"/>
        <w:spacing w:line="400" w:lineRule="exact"/>
        <w:ind w:firstLine="420" w:firstLineChars="200"/>
        <w:rPr>
          <w:rFonts w:ascii="Times New Roman" w:hAnsi="Times New Roman" w:eastAsia="宋体"/>
          <w:kern w:val="2"/>
          <w:sz w:val="21"/>
          <w:szCs w:val="24"/>
          <w:lang w:val="zh-CN"/>
        </w:rPr>
      </w:pPr>
      <w:r>
        <w:rPr>
          <w:rFonts w:hint="eastAsia" w:ascii="Times New Roman" w:hAnsi="Times New Roman" w:eastAsia="宋体"/>
          <w:kern w:val="2"/>
          <w:sz w:val="21"/>
          <w:szCs w:val="24"/>
        </w:rPr>
        <w:t>7</w:t>
      </w:r>
      <w:r>
        <w:rPr>
          <w:rFonts w:ascii="Times New Roman" w:hAnsi="Times New Roman" w:eastAsia="宋体"/>
          <w:kern w:val="2"/>
          <w:sz w:val="21"/>
          <w:szCs w:val="24"/>
          <w:lang w:val="zh-CN"/>
        </w:rPr>
        <w:t>、</w:t>
      </w:r>
      <w:r>
        <w:rPr>
          <w:rFonts w:hint="eastAsia" w:ascii="Times New Roman" w:hAnsi="宋体" w:eastAsia="宋体"/>
          <w:sz w:val="21"/>
        </w:rPr>
        <w:t>我方承诺在参加政府采购活动前三年内，在经营活动中没有重大违法记录。</w:t>
      </w:r>
    </w:p>
    <w:p>
      <w:pPr>
        <w:pStyle w:val="12"/>
        <w:spacing w:line="380" w:lineRule="exact"/>
        <w:ind w:firstLine="420" w:firstLineChars="200"/>
        <w:rPr>
          <w:rFonts w:ascii="Times New Roman" w:hAnsi="Times New Roman" w:eastAsia="宋体"/>
          <w:kern w:val="2"/>
          <w:sz w:val="21"/>
          <w:szCs w:val="24"/>
          <w:lang w:val="zh-CN"/>
        </w:rPr>
      </w:pPr>
      <w:r>
        <w:rPr>
          <w:rFonts w:hint="eastAsia" w:ascii="Times New Roman" w:hAnsi="Times New Roman" w:eastAsia="宋体"/>
          <w:kern w:val="2"/>
          <w:sz w:val="21"/>
          <w:szCs w:val="24"/>
        </w:rPr>
        <w:t>8</w:t>
      </w:r>
      <w:r>
        <w:rPr>
          <w:rFonts w:hint="eastAsia" w:ascii="Times New Roman" w:hAnsi="Times New Roman" w:eastAsia="宋体"/>
          <w:kern w:val="2"/>
          <w:sz w:val="21"/>
          <w:szCs w:val="24"/>
          <w:lang w:val="zh-CN"/>
        </w:rPr>
        <w:t>、</w:t>
      </w:r>
      <w:r>
        <w:rPr>
          <w:rFonts w:ascii="Times New Roman" w:hAnsi="Times New Roman" w:eastAsia="宋体"/>
          <w:kern w:val="2"/>
          <w:sz w:val="21"/>
          <w:szCs w:val="24"/>
          <w:lang w:val="zh-CN"/>
        </w:rPr>
        <w:t>我方同意</w:t>
      </w:r>
      <w:r>
        <w:rPr>
          <w:rFonts w:hint="eastAsia" w:ascii="Times New Roman" w:hAnsi="Times New Roman" w:eastAsia="宋体"/>
          <w:kern w:val="2"/>
          <w:sz w:val="21"/>
          <w:szCs w:val="24"/>
          <w:lang w:val="zh-CN"/>
        </w:rPr>
        <w:t>我</w:t>
      </w:r>
      <w:r>
        <w:rPr>
          <w:rFonts w:ascii="Times New Roman" w:hAnsi="Times New Roman" w:eastAsia="宋体"/>
          <w:kern w:val="2"/>
          <w:sz w:val="21"/>
          <w:szCs w:val="24"/>
          <w:lang w:val="zh-CN"/>
        </w:rPr>
        <w:t>方若无法按约定条款履行义务等行为，</w:t>
      </w:r>
      <w:r>
        <w:rPr>
          <w:rFonts w:hint="eastAsia" w:ascii="Times New Roman" w:hAnsi="Times New Roman" w:eastAsia="宋体"/>
          <w:kern w:val="2"/>
          <w:sz w:val="21"/>
          <w:szCs w:val="24"/>
          <w:lang w:val="zh-CN"/>
        </w:rPr>
        <w:t>贵</w:t>
      </w:r>
      <w:r>
        <w:rPr>
          <w:rFonts w:ascii="Times New Roman" w:hAnsi="Times New Roman" w:eastAsia="宋体"/>
          <w:kern w:val="2"/>
          <w:sz w:val="21"/>
          <w:szCs w:val="24"/>
          <w:lang w:val="zh-CN"/>
        </w:rPr>
        <w:t>方有权取消</w:t>
      </w:r>
      <w:r>
        <w:rPr>
          <w:rFonts w:hint="eastAsia" w:ascii="Times New Roman" w:hAnsi="Times New Roman" w:eastAsia="宋体"/>
          <w:kern w:val="2"/>
          <w:sz w:val="21"/>
          <w:szCs w:val="24"/>
          <w:lang w:val="zh-CN"/>
        </w:rPr>
        <w:t>我方的成交</w:t>
      </w:r>
      <w:r>
        <w:rPr>
          <w:rFonts w:ascii="Times New Roman" w:hAnsi="Times New Roman" w:eastAsia="宋体"/>
          <w:kern w:val="2"/>
          <w:sz w:val="21"/>
          <w:szCs w:val="24"/>
          <w:lang w:val="zh-CN"/>
        </w:rPr>
        <w:t>资格。</w:t>
      </w:r>
    </w:p>
    <w:p>
      <w:pPr>
        <w:pStyle w:val="12"/>
        <w:spacing w:line="400" w:lineRule="exact"/>
        <w:ind w:firstLine="420" w:firstLineChars="200"/>
        <w:rPr>
          <w:rFonts w:ascii="Times New Roman" w:hAnsi="Times New Roman" w:eastAsia="宋体"/>
          <w:sz w:val="21"/>
        </w:rPr>
      </w:pPr>
      <w:r>
        <w:rPr>
          <w:rFonts w:hint="eastAsia" w:ascii="Times New Roman" w:hAnsi="Times New Roman" w:eastAsia="宋体"/>
          <w:sz w:val="21"/>
        </w:rPr>
        <w:t>9</w:t>
      </w:r>
      <w:r>
        <w:rPr>
          <w:rFonts w:ascii="Times New Roman" w:hAnsi="Times New Roman" w:eastAsia="宋体"/>
          <w:sz w:val="21"/>
        </w:rPr>
        <w:t>、与本</w:t>
      </w:r>
      <w:r>
        <w:rPr>
          <w:rFonts w:hint="eastAsia" w:ascii="Times New Roman" w:hAnsi="Times New Roman" w:eastAsia="宋体"/>
          <w:sz w:val="21"/>
        </w:rPr>
        <w:t>谈判</w:t>
      </w:r>
      <w:r>
        <w:rPr>
          <w:rFonts w:ascii="Times New Roman" w:hAnsi="Times New Roman" w:eastAsia="宋体"/>
          <w:sz w:val="21"/>
        </w:rPr>
        <w:t>有关的通讯地址：</w:t>
      </w:r>
    </w:p>
    <w:p>
      <w:pPr>
        <w:pStyle w:val="12"/>
        <w:spacing w:line="380" w:lineRule="exact"/>
        <w:ind w:firstLine="420" w:firstLineChars="200"/>
        <w:rPr>
          <w:rFonts w:ascii="Times New Roman" w:hAnsi="Times New Roman" w:eastAsia="宋体"/>
          <w:sz w:val="21"/>
          <w:u w:val="single"/>
        </w:rPr>
      </w:pPr>
      <w:r>
        <w:rPr>
          <w:rFonts w:ascii="Times New Roman" w:hAnsi="宋体" w:eastAsia="宋体"/>
          <w:sz w:val="21"/>
        </w:rPr>
        <w:t>单</w:t>
      </w:r>
      <w:r>
        <w:rPr>
          <w:rFonts w:hint="eastAsia" w:ascii="Times New Roman" w:hAnsi="宋体" w:eastAsia="宋体"/>
          <w:sz w:val="21"/>
        </w:rPr>
        <w:t xml:space="preserve">    </w:t>
      </w:r>
      <w:r>
        <w:rPr>
          <w:rFonts w:ascii="Times New Roman" w:hAnsi="宋体" w:eastAsia="宋体"/>
          <w:sz w:val="21"/>
        </w:rPr>
        <w:t>位：</w:t>
      </w:r>
      <w:r>
        <w:rPr>
          <w:rFonts w:ascii="Times New Roman" w:hAnsi="Times New Roman" w:eastAsia="宋体"/>
          <w:sz w:val="21"/>
        </w:rPr>
        <w:t xml:space="preserve"> </w:t>
      </w:r>
      <w:r>
        <w:rPr>
          <w:rFonts w:ascii="Times New Roman" w:hAnsi="Times New Roman" w:eastAsia="宋体"/>
          <w:sz w:val="21"/>
          <w:u w:val="single"/>
        </w:rPr>
        <w:t xml:space="preserve">                                </w:t>
      </w:r>
      <w:r>
        <w:rPr>
          <w:rFonts w:ascii="Times New Roman" w:hAnsi="宋体" w:eastAsia="宋体"/>
          <w:sz w:val="21"/>
        </w:rPr>
        <w:t>联</w:t>
      </w:r>
      <w:r>
        <w:rPr>
          <w:rFonts w:hint="eastAsia" w:ascii="Times New Roman" w:hAnsi="宋体" w:eastAsia="宋体"/>
          <w:sz w:val="21"/>
        </w:rPr>
        <w:t xml:space="preserve"> </w:t>
      </w:r>
      <w:r>
        <w:rPr>
          <w:rFonts w:ascii="Times New Roman" w:hAnsi="宋体" w:eastAsia="宋体"/>
          <w:sz w:val="21"/>
        </w:rPr>
        <w:t>系</w:t>
      </w:r>
      <w:r>
        <w:rPr>
          <w:rFonts w:hint="eastAsia" w:ascii="Times New Roman" w:hAnsi="宋体" w:eastAsia="宋体"/>
          <w:sz w:val="21"/>
        </w:rPr>
        <w:t xml:space="preserve"> </w:t>
      </w:r>
      <w:r>
        <w:rPr>
          <w:rFonts w:ascii="Times New Roman" w:hAnsi="宋体" w:eastAsia="宋体"/>
          <w:sz w:val="21"/>
        </w:rPr>
        <w:t>人：</w:t>
      </w:r>
      <w:r>
        <w:rPr>
          <w:rFonts w:ascii="Times New Roman" w:hAnsi="Times New Roman" w:eastAsia="宋体"/>
          <w:sz w:val="21"/>
          <w:u w:val="single"/>
        </w:rPr>
        <w:t xml:space="preserve">                   </w:t>
      </w:r>
    </w:p>
    <w:p>
      <w:pPr>
        <w:pStyle w:val="12"/>
        <w:spacing w:line="380" w:lineRule="exact"/>
        <w:ind w:firstLine="420" w:firstLineChars="200"/>
        <w:rPr>
          <w:rFonts w:ascii="Times New Roman" w:hAnsi="Times New Roman" w:eastAsia="宋体"/>
          <w:sz w:val="21"/>
          <w:u w:val="single"/>
        </w:rPr>
      </w:pPr>
      <w:r>
        <w:rPr>
          <w:rFonts w:ascii="Times New Roman" w:hAnsi="宋体" w:eastAsia="宋体"/>
          <w:sz w:val="21"/>
        </w:rPr>
        <w:t>地</w:t>
      </w:r>
      <w:r>
        <w:rPr>
          <w:rFonts w:hint="eastAsia" w:ascii="Times New Roman" w:hAnsi="宋体" w:eastAsia="宋体"/>
          <w:sz w:val="21"/>
        </w:rPr>
        <w:t xml:space="preserve">    </w:t>
      </w:r>
      <w:r>
        <w:rPr>
          <w:rFonts w:ascii="Times New Roman" w:hAnsi="宋体" w:eastAsia="宋体"/>
          <w:sz w:val="21"/>
        </w:rPr>
        <w:t>址：</w:t>
      </w:r>
      <w:r>
        <w:rPr>
          <w:rFonts w:ascii="Times New Roman" w:hAnsi="Times New Roman" w:eastAsia="宋体"/>
          <w:sz w:val="21"/>
          <w:u w:val="single"/>
        </w:rPr>
        <w:t xml:space="preserve">                                </w:t>
      </w:r>
      <w:r>
        <w:rPr>
          <w:rFonts w:ascii="Times New Roman" w:hAnsi="Times New Roman" w:eastAsia="宋体"/>
          <w:sz w:val="21"/>
        </w:rPr>
        <w:t xml:space="preserve"> </w:t>
      </w:r>
      <w:r>
        <w:rPr>
          <w:rFonts w:ascii="Times New Roman" w:hAnsi="宋体" w:eastAsia="宋体"/>
          <w:sz w:val="21"/>
        </w:rPr>
        <w:t>邮政编码：</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p>
    <w:p>
      <w:pPr>
        <w:pStyle w:val="12"/>
        <w:spacing w:line="380" w:lineRule="exact"/>
        <w:ind w:firstLine="420" w:firstLineChars="200"/>
        <w:rPr>
          <w:rFonts w:ascii="Times New Roman" w:hAnsi="Times New Roman" w:eastAsia="宋体"/>
          <w:sz w:val="21"/>
          <w:u w:val="single"/>
        </w:rPr>
      </w:pPr>
      <w:r>
        <w:rPr>
          <w:rFonts w:ascii="Times New Roman" w:hAnsi="宋体" w:eastAsia="宋体"/>
          <w:sz w:val="21"/>
        </w:rPr>
        <w:t>联系电话：</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 xml:space="preserve"> </w:t>
      </w:r>
      <w:r>
        <w:rPr>
          <w:rFonts w:ascii="Times New Roman" w:hAnsi="宋体" w:eastAsia="宋体"/>
          <w:sz w:val="21"/>
        </w:rPr>
        <w:t>传</w:t>
      </w:r>
      <w:r>
        <w:rPr>
          <w:rFonts w:hint="eastAsia" w:ascii="Times New Roman" w:hAnsi="宋体" w:eastAsia="宋体"/>
          <w:sz w:val="21"/>
        </w:rPr>
        <w:t xml:space="preserve">    </w:t>
      </w:r>
      <w:r>
        <w:rPr>
          <w:rFonts w:ascii="Times New Roman" w:hAnsi="宋体" w:eastAsia="宋体"/>
          <w:sz w:val="21"/>
        </w:rPr>
        <w:t>真：</w:t>
      </w:r>
      <w:r>
        <w:rPr>
          <w:rFonts w:ascii="Times New Roman" w:hAnsi="Times New Roman" w:eastAsia="宋体"/>
          <w:sz w:val="21"/>
          <w:u w:val="single"/>
        </w:rPr>
        <w:t xml:space="preserve">                   </w:t>
      </w:r>
    </w:p>
    <w:p>
      <w:pPr>
        <w:pStyle w:val="12"/>
        <w:spacing w:line="380" w:lineRule="exact"/>
        <w:ind w:firstLine="425"/>
        <w:rPr>
          <w:rFonts w:ascii="Times New Roman" w:hAnsi="Times New Roman" w:eastAsia="宋体"/>
          <w:sz w:val="21"/>
        </w:rPr>
      </w:pPr>
      <w:r>
        <w:rPr>
          <w:rFonts w:hint="eastAsia" w:ascii="Times New Roman" w:hAnsi="宋体" w:eastAsia="宋体"/>
          <w:sz w:val="21"/>
        </w:rPr>
        <w:t>谈判响应单位</w:t>
      </w:r>
      <w:r>
        <w:rPr>
          <w:rFonts w:ascii="Times New Roman" w:hAnsi="宋体" w:eastAsia="宋体"/>
          <w:sz w:val="21"/>
        </w:rPr>
        <w:t>：（</w:t>
      </w:r>
      <w:r>
        <w:rPr>
          <w:rFonts w:hint="eastAsia" w:ascii="Times New Roman" w:hAnsi="宋体" w:eastAsia="宋体"/>
          <w:sz w:val="21"/>
        </w:rPr>
        <w:t>公</w:t>
      </w:r>
      <w:r>
        <w:rPr>
          <w:rFonts w:ascii="Times New Roman" w:hAnsi="宋体" w:eastAsia="宋体"/>
          <w:sz w:val="21"/>
        </w:rPr>
        <w:t>章）</w:t>
      </w:r>
    </w:p>
    <w:p>
      <w:pPr>
        <w:spacing w:line="380" w:lineRule="exact"/>
        <w:ind w:firstLine="420" w:firstLineChars="200"/>
        <w:rPr>
          <w:rFonts w:hAnsi="宋体"/>
        </w:rPr>
      </w:pPr>
      <w:r>
        <w:rPr>
          <w:rFonts w:hAnsi="宋体"/>
        </w:rPr>
        <w:t>单位法定代表人或代理人：（签字或</w:t>
      </w:r>
      <w:r>
        <w:rPr>
          <w:rFonts w:hint="eastAsia" w:hAnsi="宋体"/>
        </w:rPr>
        <w:t>签章</w:t>
      </w:r>
      <w:r>
        <w:rPr>
          <w:rFonts w:hAnsi="宋体"/>
        </w:rPr>
        <w:t>）</w:t>
      </w:r>
      <w:r>
        <w:rPr>
          <w:rFonts w:hint="eastAsia" w:hAnsi="宋体"/>
        </w:rPr>
        <w:t xml:space="preserve">               </w:t>
      </w:r>
    </w:p>
    <w:p>
      <w:pPr>
        <w:spacing w:line="380" w:lineRule="exact"/>
        <w:ind w:firstLine="420" w:firstLineChars="200"/>
        <w:rPr>
          <w:b/>
          <w:bCs/>
        </w:rPr>
      </w:pPr>
      <w:r>
        <w:rPr>
          <w:rFonts w:hAnsi="宋体"/>
        </w:rPr>
        <w:t>年     月     日</w:t>
      </w:r>
      <w:r>
        <w:rPr>
          <w:rFonts w:eastAsia="黑体"/>
          <w:b/>
          <w:bCs/>
          <w:spacing w:val="20"/>
        </w:rPr>
        <w:br w:type="page"/>
      </w:r>
      <w:r>
        <w:rPr>
          <w:rFonts w:hint="eastAsia"/>
          <w:b/>
          <w:bCs/>
        </w:rPr>
        <w:t>格式3：</w:t>
      </w:r>
    </w:p>
    <w:p>
      <w:pPr>
        <w:spacing w:line="360" w:lineRule="auto"/>
        <w:jc w:val="center"/>
        <w:rPr>
          <w:rFonts w:eastAsia="黑体"/>
          <w:b/>
          <w:bCs/>
          <w:sz w:val="32"/>
          <w:szCs w:val="32"/>
        </w:rPr>
      </w:pPr>
      <w:r>
        <w:rPr>
          <w:rFonts w:hint="eastAsia" w:eastAsia="黑体"/>
          <w:b/>
          <w:bCs/>
          <w:sz w:val="32"/>
          <w:szCs w:val="32"/>
        </w:rPr>
        <w:t>关于资格的声明函</w:t>
      </w:r>
    </w:p>
    <w:p>
      <w:pPr>
        <w:spacing w:line="360" w:lineRule="auto"/>
      </w:pPr>
    </w:p>
    <w:p>
      <w:pPr>
        <w:spacing w:line="360" w:lineRule="auto"/>
      </w:pPr>
      <w:r>
        <w:rPr>
          <w:rFonts w:hint="eastAsia"/>
        </w:rPr>
        <w:t>采购编号：</w:t>
      </w:r>
    </w:p>
    <w:p>
      <w:pPr>
        <w:spacing w:line="360" w:lineRule="auto"/>
      </w:pPr>
      <w:r>
        <w:rPr>
          <w:rFonts w:hint="eastAsia"/>
        </w:rPr>
        <w:t>日</w:t>
      </w:r>
      <w:r>
        <w:t xml:space="preserve">    </w:t>
      </w:r>
      <w:r>
        <w:rPr>
          <w:rFonts w:hint="eastAsia"/>
        </w:rPr>
        <w:t>期：</w:t>
      </w:r>
    </w:p>
    <w:p>
      <w:pPr>
        <w:spacing w:line="360" w:lineRule="auto"/>
      </w:pPr>
      <w:r>
        <w:rPr>
          <w:rFonts w:hint="eastAsia"/>
        </w:rPr>
        <w:t>苏州科技城医院：</w:t>
      </w:r>
    </w:p>
    <w:p>
      <w:pPr>
        <w:spacing w:line="360" w:lineRule="auto"/>
        <w:ind w:firstLine="420" w:firstLineChars="200"/>
      </w:pPr>
      <w:r>
        <w:rPr>
          <w:rFonts w:hint="eastAsia"/>
        </w:rPr>
        <w:t>我公司愿针对本次</w:t>
      </w:r>
      <w:r>
        <w:rPr>
          <w:u w:val="single"/>
        </w:rPr>
        <w:t xml:space="preserve">                    </w:t>
      </w:r>
      <w:r>
        <w:rPr>
          <w:rFonts w:hint="eastAsia"/>
        </w:rPr>
        <w:t>竞争性谈判采购进行响应并参加谈判。谈判响应文件中所有关于谈判资格的文件，证明与陈述均是真实的、准确的。若有违背，我公司愿意承担由此而产生的一切后果。</w:t>
      </w:r>
      <w:r>
        <w:t xml:space="preserve">                                </w:t>
      </w:r>
    </w:p>
    <w:p>
      <w:pPr>
        <w:spacing w:line="360" w:lineRule="auto"/>
        <w:ind w:firstLine="420" w:firstLineChars="200"/>
      </w:pPr>
    </w:p>
    <w:p>
      <w:pPr>
        <w:spacing w:line="360" w:lineRule="auto"/>
        <w:ind w:firstLine="420" w:firstLineChars="200"/>
      </w:pPr>
    </w:p>
    <w:p>
      <w:pPr>
        <w:spacing w:line="360" w:lineRule="auto"/>
        <w:ind w:firstLine="3045" w:firstLineChars="1450"/>
        <w:rPr>
          <w:rFonts w:ascii="宋体" w:cs="宋体"/>
          <w:szCs w:val="21"/>
          <w:lang w:val="zh-CN"/>
        </w:rPr>
      </w:pPr>
      <w:r>
        <w:rPr>
          <w:rFonts w:hint="eastAsia" w:ascii="宋体" w:cs="宋体"/>
          <w:szCs w:val="21"/>
          <w:lang w:val="zh-CN"/>
        </w:rPr>
        <w:t>法定代表人或代理人：（签字或签章）</w:t>
      </w:r>
    </w:p>
    <w:p>
      <w:pPr>
        <w:spacing w:line="360" w:lineRule="auto"/>
        <w:ind w:firstLine="3045" w:firstLineChars="1450"/>
      </w:pPr>
      <w:r>
        <w:rPr>
          <w:rFonts w:hint="eastAsia" w:hAnsi="宋体"/>
          <w:szCs w:val="20"/>
        </w:rPr>
        <w:t>谈判响应单位：（公章）</w:t>
      </w:r>
    </w:p>
    <w:p>
      <w:pPr>
        <w:spacing w:line="360" w:lineRule="auto"/>
        <w:jc w:val="left"/>
      </w:pPr>
    </w:p>
    <w:p/>
    <w:p/>
    <w:p/>
    <w:p/>
    <w:p/>
    <w:p/>
    <w:p/>
    <w:p/>
    <w:p/>
    <w:p/>
    <w:p/>
    <w:p/>
    <w:p/>
    <w:p/>
    <w:p>
      <w:pPr>
        <w:spacing w:line="360" w:lineRule="auto"/>
        <w:jc w:val="left"/>
      </w:pPr>
    </w:p>
    <w:p>
      <w:pPr>
        <w:spacing w:line="360" w:lineRule="auto"/>
        <w:jc w:val="center"/>
      </w:pPr>
    </w:p>
    <w:p>
      <w:pPr>
        <w:spacing w:line="360" w:lineRule="auto"/>
        <w:jc w:val="left"/>
      </w:pPr>
      <w:r>
        <w:br w:type="page"/>
      </w:r>
      <w:r>
        <w:rPr>
          <w:rFonts w:hint="eastAsia"/>
          <w:b/>
          <w:bCs/>
        </w:rPr>
        <w:t>格式4：</w:t>
      </w:r>
    </w:p>
    <w:p>
      <w:pPr>
        <w:spacing w:line="360" w:lineRule="auto"/>
        <w:jc w:val="center"/>
        <w:rPr>
          <w:rFonts w:eastAsia="黑体"/>
          <w:b/>
          <w:bCs/>
          <w:sz w:val="32"/>
          <w:szCs w:val="32"/>
        </w:rPr>
      </w:pPr>
      <w:r>
        <w:rPr>
          <w:rFonts w:hint="eastAsia" w:eastAsia="黑体"/>
          <w:b/>
          <w:bCs/>
          <w:sz w:val="32"/>
          <w:szCs w:val="32"/>
        </w:rPr>
        <w:t>法人授权委托书</w:t>
      </w:r>
    </w:p>
    <w:p>
      <w:pPr>
        <w:spacing w:line="480" w:lineRule="auto"/>
      </w:pPr>
    </w:p>
    <w:p>
      <w:pPr>
        <w:autoSpaceDE w:val="0"/>
        <w:autoSpaceDN w:val="0"/>
        <w:adjustRightInd w:val="0"/>
        <w:spacing w:line="360" w:lineRule="auto"/>
        <w:ind w:firstLine="420"/>
        <w:rPr>
          <w:szCs w:val="21"/>
        </w:rPr>
      </w:pPr>
      <w:r>
        <w:rPr>
          <w:szCs w:val="21"/>
          <w:lang w:val="zh-CN"/>
        </w:rPr>
        <w:t xml:space="preserve">本授权委托书声明：我 </w:t>
      </w:r>
      <w:r>
        <w:rPr>
          <w:szCs w:val="21"/>
          <w:u w:val="single"/>
          <w:lang w:val="zh-CN"/>
        </w:rPr>
        <w:t xml:space="preserve">          </w:t>
      </w:r>
      <w:r>
        <w:rPr>
          <w:szCs w:val="21"/>
          <w:lang w:val="zh-CN"/>
        </w:rPr>
        <w:t>（姓名）系</w:t>
      </w:r>
      <w:r>
        <w:rPr>
          <w:szCs w:val="21"/>
          <w:u w:val="single"/>
          <w:lang w:val="zh-CN"/>
        </w:rPr>
        <w:t xml:space="preserve">      </w:t>
      </w:r>
      <w:r>
        <w:rPr>
          <w:rFonts w:hint="eastAsia"/>
          <w:szCs w:val="21"/>
          <w:u w:val="single"/>
          <w:lang w:val="zh-CN"/>
        </w:rPr>
        <w:t xml:space="preserve">             </w:t>
      </w:r>
      <w:r>
        <w:rPr>
          <w:szCs w:val="21"/>
          <w:u w:val="single"/>
          <w:lang w:val="zh-CN"/>
        </w:rPr>
        <w:t xml:space="preserve">       </w:t>
      </w:r>
      <w:r>
        <w:rPr>
          <w:szCs w:val="21"/>
          <w:lang w:val="zh-CN"/>
        </w:rPr>
        <w:t>（投标人名称）的法定代表人，现授权委托</w:t>
      </w:r>
      <w:r>
        <w:rPr>
          <w:szCs w:val="21"/>
          <w:u w:val="single"/>
          <w:lang w:val="zh-CN"/>
        </w:rPr>
        <w:t xml:space="preserve">    </w:t>
      </w:r>
      <w:r>
        <w:rPr>
          <w:rFonts w:hint="eastAsia"/>
          <w:szCs w:val="21"/>
          <w:u w:val="single"/>
          <w:lang w:val="zh-CN"/>
        </w:rPr>
        <w:t xml:space="preserve">  </w:t>
      </w:r>
      <w:r>
        <w:rPr>
          <w:szCs w:val="21"/>
          <w:u w:val="single"/>
          <w:lang w:val="zh-CN"/>
        </w:rPr>
        <w:t xml:space="preserve">     </w:t>
      </w:r>
      <w:r>
        <w:rPr>
          <w:szCs w:val="21"/>
          <w:lang w:val="zh-CN"/>
        </w:rPr>
        <w:t>（姓名）为我公司代理人，以本公司的名义参加</w:t>
      </w:r>
      <w:r>
        <w:rPr>
          <w:rFonts w:hint="eastAsia"/>
          <w:szCs w:val="21"/>
          <w:lang w:val="zh-CN"/>
        </w:rPr>
        <w:t>苏州科技城医院</w:t>
      </w:r>
      <w:r>
        <w:rPr>
          <w:szCs w:val="21"/>
          <w:lang w:val="zh-CN"/>
        </w:rPr>
        <w:t>组织实施的编号为</w:t>
      </w:r>
      <w:r>
        <w:rPr>
          <w:szCs w:val="21"/>
          <w:u w:val="single"/>
          <w:lang w:val="zh-CN"/>
        </w:rPr>
        <w:t xml:space="preserve">                        </w:t>
      </w:r>
      <w:r>
        <w:rPr>
          <w:szCs w:val="21"/>
          <w:lang w:val="zh-CN"/>
        </w:rPr>
        <w:t>号</w:t>
      </w:r>
      <w:r>
        <w:rPr>
          <w:rFonts w:hint="eastAsia"/>
          <w:szCs w:val="21"/>
          <w:lang w:val="zh-CN"/>
        </w:rPr>
        <w:t>竞争性谈判采购</w:t>
      </w:r>
      <w:r>
        <w:rPr>
          <w:szCs w:val="21"/>
          <w:lang w:val="zh-CN"/>
        </w:rPr>
        <w:t>活动。代理人在开标、评标、合同谈判过程中所签署的一切文件和处理与这有关的一切事务，我均予以承认。</w:t>
      </w:r>
    </w:p>
    <w:p>
      <w:pPr>
        <w:autoSpaceDE w:val="0"/>
        <w:autoSpaceDN w:val="0"/>
        <w:adjustRightInd w:val="0"/>
        <w:spacing w:line="360" w:lineRule="auto"/>
        <w:ind w:firstLine="420"/>
        <w:rPr>
          <w:szCs w:val="21"/>
        </w:rPr>
      </w:pPr>
      <w:r>
        <w:rPr>
          <w:szCs w:val="21"/>
          <w:lang w:val="zh-CN"/>
        </w:rPr>
        <w:t>代理人在授权委托书有效期内签署的所有文件不因授权委托的撤销而失效，除非有撤销授权委托的书面通知，本授权委托书自投标开始至合同履行完毕止。</w:t>
      </w:r>
    </w:p>
    <w:p>
      <w:pPr>
        <w:autoSpaceDE w:val="0"/>
        <w:autoSpaceDN w:val="0"/>
        <w:adjustRightInd w:val="0"/>
        <w:spacing w:line="360" w:lineRule="auto"/>
        <w:ind w:firstLine="425"/>
        <w:rPr>
          <w:szCs w:val="21"/>
        </w:rPr>
      </w:pPr>
      <w:r>
        <w:rPr>
          <w:szCs w:val="21"/>
          <w:lang w:val="zh-CN"/>
        </w:rPr>
        <w:t>代理人无转委托权。特此委托。</w:t>
      </w:r>
    </w:p>
    <w:p>
      <w:pPr>
        <w:spacing w:line="480" w:lineRule="auto"/>
      </w:pPr>
    </w:p>
    <w:p>
      <w:pPr>
        <w:spacing w:line="480" w:lineRule="auto"/>
      </w:pPr>
      <w:r>
        <w:rPr>
          <w:rFonts w:hint="eastAsia"/>
        </w:rPr>
        <w:t>代理人（</w:t>
      </w:r>
      <w:r>
        <w:rPr>
          <w:rFonts w:hint="eastAsia"/>
          <w:bCs/>
        </w:rPr>
        <w:t>签字或签章）</w:t>
      </w:r>
      <w:r>
        <w:rPr>
          <w:rFonts w:hint="eastAsia"/>
        </w:rPr>
        <w:t>：</w:t>
      </w:r>
      <w:r>
        <w:t xml:space="preserve">           </w:t>
      </w:r>
      <w:r>
        <w:rPr>
          <w:rFonts w:hint="eastAsia"/>
        </w:rPr>
        <w:t xml:space="preserve">     法定代表人（</w:t>
      </w:r>
      <w:r>
        <w:rPr>
          <w:rFonts w:hint="eastAsia"/>
          <w:bCs/>
        </w:rPr>
        <w:t>签字或签章）</w:t>
      </w:r>
      <w:r>
        <w:rPr>
          <w:rFonts w:hint="eastAsia"/>
        </w:rPr>
        <w:t>：</w:t>
      </w:r>
    </w:p>
    <w:p>
      <w:pPr>
        <w:spacing w:line="480" w:lineRule="auto"/>
      </w:pPr>
      <w:r>
        <w:rPr>
          <w:rFonts w:hint="eastAsia"/>
        </w:rPr>
        <w:t>职务：</w:t>
      </w:r>
      <w:r>
        <w:t xml:space="preserve">                 </w:t>
      </w:r>
    </w:p>
    <w:p>
      <w:pPr>
        <w:spacing w:line="480" w:lineRule="auto"/>
      </w:pPr>
      <w:r>
        <w:rPr>
          <w:rFonts w:hint="eastAsia"/>
        </w:rPr>
        <w:t>联系电话：</w:t>
      </w:r>
      <w:r>
        <w:t xml:space="preserve">                     </w:t>
      </w:r>
      <w:r>
        <w:rPr>
          <w:rFonts w:hint="eastAsia"/>
        </w:rPr>
        <w:t xml:space="preserve">          </w:t>
      </w:r>
      <w:r>
        <w:rPr>
          <w:rFonts w:hint="eastAsia" w:hAnsi="宋体"/>
          <w:szCs w:val="20"/>
        </w:rPr>
        <w:t>谈判响应单位：（公章）</w:t>
      </w:r>
    </w:p>
    <w:p>
      <w:pPr>
        <w:spacing w:line="360" w:lineRule="auto"/>
        <w:jc w:val="left"/>
      </w:pPr>
    </w:p>
    <w:p>
      <w:pPr>
        <w:spacing w:line="360" w:lineRule="auto"/>
        <w:jc w:val="left"/>
      </w:pPr>
    </w:p>
    <w:p>
      <w:pPr>
        <w:spacing w:line="360" w:lineRule="auto"/>
        <w:jc w:val="left"/>
      </w:pPr>
    </w:p>
    <w:p>
      <w:pPr>
        <w:spacing w:line="360" w:lineRule="auto"/>
        <w:jc w:val="left"/>
      </w:pPr>
    </w:p>
    <w:p>
      <w:pPr>
        <w:spacing w:line="360" w:lineRule="auto"/>
        <w:jc w:val="left"/>
      </w:pPr>
    </w:p>
    <w:p>
      <w:pPr>
        <w:spacing w:line="360" w:lineRule="auto"/>
        <w:jc w:val="left"/>
      </w:pPr>
    </w:p>
    <w:p>
      <w:pPr>
        <w:spacing w:line="360" w:lineRule="auto"/>
        <w:jc w:val="left"/>
      </w:pPr>
    </w:p>
    <w:p>
      <w:pPr>
        <w:spacing w:line="360" w:lineRule="auto"/>
        <w:jc w:val="left"/>
      </w:pPr>
    </w:p>
    <w:p>
      <w:pPr>
        <w:spacing w:line="360" w:lineRule="auto"/>
        <w:jc w:val="left"/>
      </w:pPr>
    </w:p>
    <w:p>
      <w:pPr>
        <w:spacing w:line="360" w:lineRule="auto"/>
        <w:jc w:val="left"/>
      </w:pPr>
    </w:p>
    <w:p>
      <w:pPr>
        <w:spacing w:line="360" w:lineRule="auto"/>
        <w:jc w:val="left"/>
      </w:pPr>
    </w:p>
    <w:p>
      <w:pPr>
        <w:spacing w:line="360" w:lineRule="auto"/>
        <w:jc w:val="left"/>
      </w:pPr>
    </w:p>
    <w:p/>
    <w:sectPr>
      <w:footerReference r:id="rId5" w:type="first"/>
      <w:headerReference r:id="rId3" w:type="default"/>
      <w:footerReference r:id="rId4" w:type="default"/>
      <w:pgSz w:w="11906" w:h="16838"/>
      <w:pgMar w:top="1440" w:right="1797" w:bottom="1440" w:left="1797" w:header="851" w:footer="992" w:gutter="0"/>
      <w:pgBorders>
        <w:top w:val="none" w:sz="0" w:space="0"/>
        <w:left w:val="none" w:sz="0" w:space="0"/>
        <w:bottom w:val="none" w:sz="0" w:space="0"/>
        <w:right w:val="none" w:sz="0" w:space="0"/>
      </w:pgBorders>
      <w:pgNumType w:fmt="decimal"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15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5"/>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15</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15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5"/>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15</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6FF5238"/>
    <w:multiLevelType w:val="singleLevel"/>
    <w:tmpl w:val="E6FF5238"/>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7966FFB"/>
    <w:rsid w:val="000E4AE4"/>
    <w:rsid w:val="00A97435"/>
    <w:rsid w:val="00B309DF"/>
    <w:rsid w:val="0241207E"/>
    <w:rsid w:val="02785724"/>
    <w:rsid w:val="02D768EE"/>
    <w:rsid w:val="0326155F"/>
    <w:rsid w:val="06A26232"/>
    <w:rsid w:val="091D7025"/>
    <w:rsid w:val="09B30A80"/>
    <w:rsid w:val="0CA041F5"/>
    <w:rsid w:val="111A1552"/>
    <w:rsid w:val="136B37F1"/>
    <w:rsid w:val="13AD7F40"/>
    <w:rsid w:val="17710C68"/>
    <w:rsid w:val="17966FFB"/>
    <w:rsid w:val="18EB7C46"/>
    <w:rsid w:val="1BCB56EC"/>
    <w:rsid w:val="1E1B36DB"/>
    <w:rsid w:val="1E6E5F01"/>
    <w:rsid w:val="20C8171C"/>
    <w:rsid w:val="21845AD7"/>
    <w:rsid w:val="21C83B7A"/>
    <w:rsid w:val="227B7021"/>
    <w:rsid w:val="2283228C"/>
    <w:rsid w:val="22A57106"/>
    <w:rsid w:val="26BF0902"/>
    <w:rsid w:val="272950BB"/>
    <w:rsid w:val="28EA4406"/>
    <w:rsid w:val="29F01EC0"/>
    <w:rsid w:val="2B1F6F41"/>
    <w:rsid w:val="2B5C5333"/>
    <w:rsid w:val="2C420FF0"/>
    <w:rsid w:val="2D0706EE"/>
    <w:rsid w:val="2F544C9F"/>
    <w:rsid w:val="323E5792"/>
    <w:rsid w:val="334B30CB"/>
    <w:rsid w:val="344D7F0F"/>
    <w:rsid w:val="34F14D46"/>
    <w:rsid w:val="3643481E"/>
    <w:rsid w:val="36EE7787"/>
    <w:rsid w:val="3B117EE8"/>
    <w:rsid w:val="3F984734"/>
    <w:rsid w:val="3FD57B60"/>
    <w:rsid w:val="4303280C"/>
    <w:rsid w:val="452E1696"/>
    <w:rsid w:val="453E18DA"/>
    <w:rsid w:val="49E8450A"/>
    <w:rsid w:val="4AD73910"/>
    <w:rsid w:val="4BDE7972"/>
    <w:rsid w:val="4CF82CB6"/>
    <w:rsid w:val="4D981DA3"/>
    <w:rsid w:val="4E573A0C"/>
    <w:rsid w:val="4EE07EA5"/>
    <w:rsid w:val="4FA42C81"/>
    <w:rsid w:val="51C100D1"/>
    <w:rsid w:val="530C3017"/>
    <w:rsid w:val="53A96AB8"/>
    <w:rsid w:val="54646E83"/>
    <w:rsid w:val="56533594"/>
    <w:rsid w:val="5862192B"/>
    <w:rsid w:val="596A6CE9"/>
    <w:rsid w:val="59D152DB"/>
    <w:rsid w:val="59DC1716"/>
    <w:rsid w:val="5C820F68"/>
    <w:rsid w:val="5CC11316"/>
    <w:rsid w:val="5D6B1282"/>
    <w:rsid w:val="5FD01870"/>
    <w:rsid w:val="65F8742B"/>
    <w:rsid w:val="672101E2"/>
    <w:rsid w:val="676C1E7F"/>
    <w:rsid w:val="68D36075"/>
    <w:rsid w:val="692052FF"/>
    <w:rsid w:val="698D7179"/>
    <w:rsid w:val="6A0F4DF1"/>
    <w:rsid w:val="6BE62E77"/>
    <w:rsid w:val="6D535020"/>
    <w:rsid w:val="6E7A30D3"/>
    <w:rsid w:val="6EED1AF7"/>
    <w:rsid w:val="6EFC5C12"/>
    <w:rsid w:val="7101188A"/>
    <w:rsid w:val="73816EC9"/>
    <w:rsid w:val="78866B18"/>
    <w:rsid w:val="79DF4732"/>
    <w:rsid w:val="7BFC781D"/>
    <w:rsid w:val="7DB06B11"/>
    <w:rsid w:val="7FF076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3"/>
    <w:qFormat/>
    <w:uiPriority w:val="9"/>
    <w:pPr>
      <w:widowControl/>
      <w:spacing w:before="240" w:after="60"/>
      <w:jc w:val="left"/>
      <w:outlineLvl w:val="0"/>
    </w:pPr>
    <w:rPr>
      <w:rFonts w:ascii="Arial" w:hAnsi="Arial" w:cs="Arial"/>
      <w:b/>
      <w:bCs/>
      <w:color w:val="000000"/>
      <w:kern w:val="36"/>
      <w:sz w:val="36"/>
      <w:szCs w:val="36"/>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qFormat/>
    <w:uiPriority w:val="0"/>
    <w:pPr>
      <w:spacing w:line="300" w:lineRule="auto"/>
      <w:ind w:firstLine="560" w:firstLineChars="200"/>
      <w:jc w:val="left"/>
    </w:pPr>
    <w:rPr>
      <w:sz w:val="28"/>
    </w:rPr>
  </w:style>
  <w:style w:type="paragraph" w:styleId="4">
    <w:name w:val="Balloon Text"/>
    <w:basedOn w:val="1"/>
    <w:link w:val="15"/>
    <w:qFormat/>
    <w:uiPriority w:val="0"/>
    <w:rPr>
      <w:sz w:val="18"/>
      <w:szCs w:val="18"/>
    </w:r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7">
    <w:name w:val="Body Text Indent 3"/>
    <w:basedOn w:val="1"/>
    <w:qFormat/>
    <w:uiPriority w:val="0"/>
    <w:pPr>
      <w:spacing w:line="440" w:lineRule="atLeast"/>
      <w:ind w:firstLine="480" w:firstLineChars="200"/>
      <w:jc w:val="left"/>
    </w:pPr>
    <w:rPr>
      <w:sz w:val="24"/>
    </w:rPr>
  </w:style>
  <w:style w:type="paragraph" w:styleId="8">
    <w:name w:val="Normal (Web)"/>
    <w:basedOn w:val="1"/>
    <w:qFormat/>
    <w:uiPriority w:val="0"/>
    <w:pPr>
      <w:widowControl/>
      <w:spacing w:beforeAutospacing="1" w:afterAutospacing="1"/>
      <w:jc w:val="left"/>
    </w:pPr>
    <w:rPr>
      <w:rFonts w:ascii="宋体" w:hAnsi="宋体" w:cs="宋体"/>
      <w:kern w:val="0"/>
      <w:sz w:val="24"/>
    </w:rPr>
  </w:style>
  <w:style w:type="table" w:styleId="10">
    <w:name w:val="Table Grid"/>
    <w:basedOn w:val="9"/>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2">
    <w:name w:val="纯文本1"/>
    <w:basedOn w:val="1"/>
    <w:qFormat/>
    <w:uiPriority w:val="0"/>
    <w:pPr>
      <w:widowControl/>
      <w:adjustRightInd w:val="0"/>
      <w:jc w:val="left"/>
      <w:textAlignment w:val="baseline"/>
    </w:pPr>
    <w:rPr>
      <w:rFonts w:ascii="宋体" w:hAnsi="Courier New" w:eastAsia="楷体_GB2312"/>
      <w:kern w:val="0"/>
      <w:sz w:val="26"/>
      <w:szCs w:val="20"/>
    </w:rPr>
  </w:style>
  <w:style w:type="character" w:customStyle="1" w:styleId="13">
    <w:name w:val="标题 1 Char"/>
    <w:basedOn w:val="11"/>
    <w:link w:val="3"/>
    <w:qFormat/>
    <w:uiPriority w:val="9"/>
    <w:rPr>
      <w:rFonts w:ascii="Arial" w:hAnsi="Arial" w:cs="Arial"/>
      <w:b/>
      <w:bCs/>
      <w:color w:val="000000"/>
      <w:kern w:val="36"/>
      <w:sz w:val="36"/>
      <w:szCs w:val="36"/>
    </w:rPr>
  </w:style>
  <w:style w:type="paragraph" w:styleId="14">
    <w:name w:val="List Paragraph"/>
    <w:basedOn w:val="1"/>
    <w:qFormat/>
    <w:uiPriority w:val="34"/>
    <w:pPr>
      <w:widowControl/>
      <w:ind w:firstLine="420"/>
    </w:pPr>
    <w:rPr>
      <w:color w:val="000000"/>
      <w:kern w:val="0"/>
      <w:szCs w:val="21"/>
    </w:rPr>
  </w:style>
  <w:style w:type="character" w:customStyle="1" w:styleId="15">
    <w:name w:val="批注框文本 Char"/>
    <w:basedOn w:val="11"/>
    <w:link w:val="4"/>
    <w:qFormat/>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enovo\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12</Pages>
  <Words>1309</Words>
  <Characters>7463</Characters>
  <Lines>62</Lines>
  <Paragraphs>17</Paragraphs>
  <TotalTime>11</TotalTime>
  <ScaleCrop>false</ScaleCrop>
  <LinksUpToDate>false</LinksUpToDate>
  <CharactersWithSpaces>8755</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2018-12-19T09:25:00Z</dcterms:created>
  <dc:creator>旭阳医用徐楊</dc:creator>
  <cp:lastModifiedBy>WPS_1618972527</cp:lastModifiedBy>
  <dcterms:modified xsi:type="dcterms:W3CDTF">2022-03-28T02:55:34Z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05557B20B46D41989953EA99B7DC93C3</vt:lpwstr>
  </property>
</Properties>
</file>