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7D" w:rsidRPr="0021535E" w:rsidRDefault="0021535E" w:rsidP="0021535E">
      <w:pPr>
        <w:jc w:val="center"/>
        <w:rPr>
          <w:rFonts w:ascii="宋体" w:hAnsi="宋体"/>
          <w:b/>
          <w:kern w:val="0"/>
          <w:sz w:val="28"/>
          <w:szCs w:val="28"/>
        </w:rPr>
      </w:pPr>
      <w:r w:rsidRPr="0021535E">
        <w:rPr>
          <w:rFonts w:ascii="宋体" w:hAnsi="宋体" w:hint="eastAsia"/>
          <w:b/>
          <w:kern w:val="0"/>
          <w:sz w:val="28"/>
          <w:szCs w:val="28"/>
        </w:rPr>
        <w:t>技术评分表</w:t>
      </w:r>
    </w:p>
    <w:tbl>
      <w:tblPr>
        <w:tblW w:w="40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30"/>
        <w:gridCol w:w="4438"/>
      </w:tblGrid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660BE1">
            <w:pPr>
              <w:pStyle w:val="TableParagraph"/>
              <w:adjustRightInd w:val="0"/>
              <w:snapToGrid w:val="0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hint="eastAsia"/>
                <w:bCs/>
                <w:sz w:val="24"/>
                <w:szCs w:val="24"/>
              </w:rPr>
              <w:t>条款内容</w:t>
            </w:r>
            <w:proofErr w:type="spellEnd"/>
          </w:p>
        </w:tc>
        <w:tc>
          <w:tcPr>
            <w:tcW w:w="3328" w:type="pct"/>
            <w:vAlign w:val="center"/>
          </w:tcPr>
          <w:p w:rsidR="006C2E3C" w:rsidRDefault="006C2E3C" w:rsidP="00D57FD2">
            <w:pPr>
              <w:pStyle w:val="TableParagraph"/>
              <w:adjustRightInd w:val="0"/>
              <w:snapToGrid w:val="0"/>
              <w:spacing w:line="360" w:lineRule="auto"/>
              <w:ind w:firstLine="48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hint="eastAsia"/>
                <w:bCs/>
                <w:sz w:val="24"/>
                <w:szCs w:val="24"/>
              </w:rPr>
              <w:t>编列内容</w:t>
            </w:r>
            <w:proofErr w:type="spellEnd"/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660BE1">
            <w:pPr>
              <w:pStyle w:val="TableParagraph"/>
              <w:adjustRightInd w:val="0"/>
              <w:snapToGrid w:val="0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hint="eastAsia"/>
                <w:bCs/>
                <w:sz w:val="24"/>
                <w:szCs w:val="24"/>
              </w:rPr>
              <w:t>分值构成</w:t>
            </w:r>
            <w:proofErr w:type="spellEnd"/>
          </w:p>
          <w:p w:rsidR="006C2E3C" w:rsidRDefault="006C2E3C" w:rsidP="00660BE1">
            <w:pPr>
              <w:pStyle w:val="TableParagraph"/>
              <w:adjustRightInd w:val="0"/>
              <w:snapToGrid w:val="0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总分</w:t>
            </w:r>
            <w:r>
              <w:rPr>
                <w:bCs/>
                <w:sz w:val="24"/>
                <w:szCs w:val="24"/>
              </w:rPr>
              <w:t xml:space="preserve">100 </w:t>
            </w:r>
            <w:r>
              <w:rPr>
                <w:rFonts w:hint="eastAsia"/>
                <w:bCs/>
                <w:sz w:val="24"/>
                <w:szCs w:val="24"/>
              </w:rPr>
              <w:t>分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328" w:type="pct"/>
            <w:vAlign w:val="center"/>
          </w:tcPr>
          <w:p w:rsidR="006C2E3C" w:rsidRDefault="006C2E3C" w:rsidP="00D57FD2">
            <w:pPr>
              <w:pStyle w:val="TableParagraph"/>
              <w:tabs>
                <w:tab w:val="left" w:pos="1889"/>
              </w:tabs>
              <w:adjustRightInd w:val="0"/>
              <w:snapToGrid w:val="0"/>
              <w:spacing w:line="360" w:lineRule="auto"/>
              <w:ind w:firstLine="480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资质部分：</w:t>
            </w:r>
            <w:r>
              <w:rPr>
                <w:rFonts w:hint="eastAsia"/>
                <w:bCs/>
                <w:sz w:val="24"/>
                <w:szCs w:val="24"/>
                <w:u w:val="single"/>
                <w:lang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分</w:t>
            </w:r>
          </w:p>
          <w:p w:rsidR="006C2E3C" w:rsidRDefault="006C2E3C" w:rsidP="00D57FD2">
            <w:pPr>
              <w:pStyle w:val="TableParagraph"/>
              <w:tabs>
                <w:tab w:val="left" w:pos="1889"/>
              </w:tabs>
              <w:adjustRightInd w:val="0"/>
              <w:snapToGrid w:val="0"/>
              <w:spacing w:line="360" w:lineRule="auto"/>
              <w:ind w:firstLine="480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技术部分：</w:t>
            </w:r>
            <w:r>
              <w:rPr>
                <w:rFonts w:hint="eastAsia"/>
                <w:bCs/>
                <w:sz w:val="24"/>
                <w:szCs w:val="24"/>
                <w:u w:val="single"/>
                <w:lang w:eastAsia="zh-CN"/>
              </w:rPr>
              <w:t>5</w:t>
            </w:r>
            <w:r>
              <w:rPr>
                <w:bCs/>
                <w:sz w:val="24"/>
                <w:szCs w:val="24"/>
                <w:u w:val="single"/>
                <w:lang w:eastAsia="zh-CN"/>
              </w:rPr>
              <w:t>0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分</w:t>
            </w:r>
          </w:p>
          <w:p w:rsidR="006C2E3C" w:rsidRDefault="006C2E3C" w:rsidP="00D57FD2">
            <w:pPr>
              <w:pStyle w:val="TableParagraph"/>
              <w:tabs>
                <w:tab w:val="left" w:pos="1889"/>
              </w:tabs>
              <w:adjustRightInd w:val="0"/>
              <w:snapToGrid w:val="0"/>
              <w:spacing w:line="360" w:lineRule="auto"/>
              <w:ind w:firstLine="480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投标报价：</w:t>
            </w:r>
            <w:r>
              <w:rPr>
                <w:bCs/>
                <w:sz w:val="24"/>
                <w:szCs w:val="24"/>
                <w:u w:val="single"/>
                <w:lang w:eastAsia="zh-CN"/>
              </w:rPr>
              <w:t>30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分</w:t>
            </w:r>
          </w:p>
          <w:p w:rsidR="006C2E3C" w:rsidRDefault="006C2E3C" w:rsidP="00D57FD2">
            <w:pPr>
              <w:pStyle w:val="TableParagraph"/>
              <w:tabs>
                <w:tab w:val="left" w:pos="1889"/>
              </w:tabs>
              <w:adjustRightInd w:val="0"/>
              <w:snapToGrid w:val="0"/>
              <w:spacing w:line="360" w:lineRule="auto"/>
              <w:ind w:firstLine="480"/>
              <w:jc w:val="center"/>
              <w:rPr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其他评分因素：</w:t>
            </w:r>
            <w:r>
              <w:rPr>
                <w:bCs/>
                <w:sz w:val="24"/>
                <w:szCs w:val="24"/>
                <w:lang w:eastAsia="zh-CN"/>
              </w:rPr>
              <w:t>/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660BE1">
            <w:pPr>
              <w:pStyle w:val="TableParagraph"/>
              <w:adjustRightInd w:val="0"/>
              <w:snapToGrid w:val="0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hint="eastAsia"/>
                <w:bCs/>
                <w:sz w:val="24"/>
                <w:szCs w:val="24"/>
              </w:rPr>
              <w:t>评分因素</w:t>
            </w:r>
            <w:proofErr w:type="spellEnd"/>
          </w:p>
        </w:tc>
        <w:tc>
          <w:tcPr>
            <w:tcW w:w="3328" w:type="pct"/>
            <w:vAlign w:val="center"/>
          </w:tcPr>
          <w:p w:rsidR="006C2E3C" w:rsidRDefault="006C2E3C" w:rsidP="00D57FD2">
            <w:pPr>
              <w:pStyle w:val="TableParagraph"/>
              <w:adjustRightInd w:val="0"/>
              <w:snapToGrid w:val="0"/>
              <w:spacing w:line="360" w:lineRule="auto"/>
              <w:ind w:firstLine="48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rFonts w:hint="eastAsia"/>
                <w:bCs/>
                <w:sz w:val="24"/>
                <w:szCs w:val="24"/>
              </w:rPr>
              <w:t>评分标准</w:t>
            </w:r>
            <w:proofErr w:type="spellEnd"/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知识产权证明</w:t>
            </w:r>
          </w:p>
          <w:p w:rsidR="006C2E3C" w:rsidRDefault="006C2E3C" w:rsidP="00057EBA">
            <w:pPr>
              <w:adjustRightInd w:val="0"/>
              <w:snapToGrid w:val="0"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投标人需具备计算机软件著作权或软件产品登记证书，包含：</w:t>
            </w:r>
            <w:r>
              <w:rPr>
                <w:sz w:val="24"/>
              </w:rPr>
              <w:t>数字化智能</w:t>
            </w:r>
            <w:r>
              <w:rPr>
                <w:sz w:val="24"/>
              </w:rPr>
              <w:t>VTE</w:t>
            </w:r>
            <w:r>
              <w:rPr>
                <w:sz w:val="24"/>
              </w:rPr>
              <w:t>全流程管理平台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一体化管理系统、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全院</w:t>
            </w:r>
            <w:proofErr w:type="gramStart"/>
            <w:r>
              <w:rPr>
                <w:rFonts w:hint="eastAsia"/>
                <w:sz w:val="24"/>
              </w:rPr>
              <w:t>化数据质</w:t>
            </w:r>
            <w:proofErr w:type="gramEnd"/>
            <w:r>
              <w:rPr>
                <w:rFonts w:hint="eastAsia"/>
                <w:sz w:val="24"/>
              </w:rPr>
              <w:t>控系统、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实时监控系统、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智能评估系统、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质控城市大脑管理平台、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健康服务系统及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移动相关苹果端、安卓端系统等方面。每提供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个得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分，最高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分，未提供的不得分。原件备查。</w:t>
            </w:r>
          </w:p>
        </w:tc>
      </w:tr>
      <w:tr w:rsidR="006C2E3C" w:rsidTr="006C2E3C">
        <w:trPr>
          <w:trHeight w:val="1703"/>
          <w:jc w:val="center"/>
        </w:trPr>
        <w:tc>
          <w:tcPr>
            <w:tcW w:w="1672" w:type="pct"/>
            <w:vMerge w:val="restart"/>
            <w:vAlign w:val="center"/>
          </w:tcPr>
          <w:p w:rsidR="006C2E3C" w:rsidRDefault="006C2E3C" w:rsidP="00057EB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能力证明</w:t>
            </w:r>
          </w:p>
          <w:p w:rsidR="006C2E3C" w:rsidRDefault="006C2E3C" w:rsidP="00057EBA">
            <w:pPr>
              <w:pStyle w:val="a5"/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（5分）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投标厂家辅助服务过三级及以上医院顺利通过电子病历六级评审的，每一个得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分，最多得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分；需提供医院业绩证明复印件并加盖投标人公章。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Merge/>
            <w:vAlign w:val="center"/>
          </w:tcPr>
          <w:p w:rsidR="006C2E3C" w:rsidRDefault="006C2E3C" w:rsidP="00057EB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28" w:type="pct"/>
            <w:vAlign w:val="bottom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防治系统能够提供国家法定监督检测机构出具的测试或检验报告（至少提供国家法定检测机构的盖章页）的得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分，未提供的不得分。（原件备查）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业绩案例</w:t>
            </w:r>
          </w:p>
          <w:p w:rsidR="006C2E3C" w:rsidRDefault="006C2E3C" w:rsidP="00057EB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bottom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日至开标当日（以合同签订时间为准），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软件相关项目近三年相关医院有成功的相关业绩案例证明，每提供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分，最高得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分。不提供不得分。</w:t>
            </w:r>
          </w:p>
          <w:p w:rsidR="006C2E3C" w:rsidRDefault="006C2E3C" w:rsidP="00057EBA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注：有效证明文件包括该中标（成交）通知书复印件、采购合同复印件（</w:t>
            </w:r>
            <w:proofErr w:type="gramStart"/>
            <w:r>
              <w:rPr>
                <w:rFonts w:hint="eastAsia"/>
                <w:sz w:val="24"/>
              </w:rPr>
              <w:t>须体现</w:t>
            </w:r>
            <w:proofErr w:type="gramEnd"/>
            <w:r>
              <w:rPr>
                <w:rFonts w:hint="eastAsia"/>
                <w:sz w:val="24"/>
              </w:rPr>
              <w:t>合同名称、签订双方名称、签订时间、主要</w:t>
            </w:r>
            <w:r>
              <w:rPr>
                <w:rFonts w:hint="eastAsia"/>
                <w:sz w:val="24"/>
              </w:rPr>
              <w:lastRenderedPageBreak/>
              <w:t>服务产品名称、双方盖章页），以及能够证明</w:t>
            </w:r>
            <w:proofErr w:type="gramStart"/>
            <w:r>
              <w:rPr>
                <w:rFonts w:hint="eastAsia"/>
                <w:sz w:val="24"/>
              </w:rPr>
              <w:t>该业绩</w:t>
            </w:r>
            <w:proofErr w:type="gramEnd"/>
            <w:r>
              <w:rPr>
                <w:rFonts w:hint="eastAsia"/>
                <w:sz w:val="24"/>
              </w:rPr>
              <w:t>项目已经采购人验收合格或运营效果报告的相关证明文件。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技术参数符合度</w:t>
            </w:r>
          </w:p>
          <w:p w:rsidR="006C2E3C" w:rsidRDefault="006C2E3C" w:rsidP="00057EBA">
            <w:pPr>
              <w:spacing w:line="360" w:lineRule="auto"/>
              <w:jc w:val="center"/>
              <w:rPr>
                <w:rFonts w:cs="仿宋"/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投标产品各项技术参数指标及要求全部满足的得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分：</w:t>
            </w:r>
          </w:p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“招标参数”中标有“▲”的指标每偏离（负偏离）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条扣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分，扣完为止；</w:t>
            </w:r>
          </w:p>
          <w:p w:rsidR="006C2E3C" w:rsidRPr="00DB21BF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“招标参数”中未标“▲”的指标每偏离（负偏离）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条扣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分，扣完为止。</w:t>
            </w:r>
            <w:r>
              <w:rPr>
                <w:rFonts w:cs="仿宋"/>
                <w:bCs/>
                <w:sz w:val="24"/>
              </w:rPr>
              <w:t xml:space="preserve"> 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实施方案</w:t>
            </w:r>
          </w:p>
          <w:p w:rsidR="006C2E3C" w:rsidRDefault="006C2E3C" w:rsidP="00057E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实施方案：投标供应商实施方案完整、全面、条理清晰、描述合理可行的，得</w:t>
            </w: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分；能够相对较好的表达出实施内容的，得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分；实施内容描述一般的，得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分；没有不得分；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产品设计方案</w:t>
            </w:r>
          </w:p>
          <w:p w:rsidR="006C2E3C" w:rsidRDefault="006C2E3C" w:rsidP="00057EBA">
            <w:pPr>
              <w:pStyle w:val="a5"/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（5分）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产品设计方案：投标产品设计思路清晰、完整、全面，符合医院信息化发展趋势的，得满分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分；能够较清楚响应招标内容的，得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分；能够</w:t>
            </w:r>
            <w:proofErr w:type="gramStart"/>
            <w:r>
              <w:rPr>
                <w:rFonts w:hint="eastAsia"/>
                <w:sz w:val="24"/>
              </w:rPr>
              <w:t>基本响应</w:t>
            </w:r>
            <w:proofErr w:type="gramEnd"/>
            <w:r>
              <w:rPr>
                <w:rFonts w:hint="eastAsia"/>
                <w:sz w:val="24"/>
              </w:rPr>
              <w:t>招标内容的，得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分；没有不得分。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系统实际应用效果证明（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bottom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相关软件产品用户获得全国</w:t>
            </w:r>
            <w:r>
              <w:rPr>
                <w:rFonts w:hint="eastAsia"/>
                <w:sz w:val="24"/>
              </w:rPr>
              <w:t>VTE</w:t>
            </w:r>
            <w:r>
              <w:rPr>
                <w:rFonts w:hint="eastAsia"/>
                <w:sz w:val="24"/>
              </w:rPr>
              <w:t>防治基地评审获得优秀评级的，每提供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个得</w:t>
            </w:r>
            <w:r>
              <w:rPr>
                <w:rFonts w:hint="eastAsia"/>
                <w:sz w:val="24"/>
              </w:rPr>
              <w:t>0.5</w:t>
            </w:r>
            <w:r>
              <w:rPr>
                <w:rFonts w:hint="eastAsia"/>
                <w:sz w:val="24"/>
              </w:rPr>
              <w:t>分，最高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分，未提供的不计分。提供有效用户证明及评级通过证明。有效证明文件包括该中标（成交）通知书复印件、采购合同复印件（</w:t>
            </w:r>
            <w:proofErr w:type="gramStart"/>
            <w:r>
              <w:rPr>
                <w:rFonts w:hint="eastAsia"/>
                <w:sz w:val="24"/>
              </w:rPr>
              <w:t>须体现</w:t>
            </w:r>
            <w:proofErr w:type="gramEnd"/>
            <w:r>
              <w:rPr>
                <w:rFonts w:hint="eastAsia"/>
                <w:sz w:val="24"/>
              </w:rPr>
              <w:t>合同名称、签订双方名称、签订时间、主要服务产品名称、双方盖章页），能够证明</w:t>
            </w:r>
            <w:proofErr w:type="gramStart"/>
            <w:r>
              <w:rPr>
                <w:rFonts w:hint="eastAsia"/>
                <w:sz w:val="24"/>
              </w:rPr>
              <w:t>该业绩</w:t>
            </w:r>
            <w:proofErr w:type="gramEnd"/>
            <w:r>
              <w:rPr>
                <w:rFonts w:hint="eastAsia"/>
                <w:sz w:val="24"/>
              </w:rPr>
              <w:t>项目已经采购人验收合格或运营效果报告的相关证明文件。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技术实力</w:t>
            </w:r>
          </w:p>
          <w:p w:rsidR="006C2E3C" w:rsidRDefault="006C2E3C" w:rsidP="00057EBA">
            <w:pPr>
              <w:pStyle w:val="a5"/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>与医院合作获得国内、国际相关</w:t>
            </w:r>
            <w:r>
              <w:rPr>
                <w:rFonts w:hint="eastAsia"/>
                <w:sz w:val="24"/>
                <w:szCs w:val="20"/>
              </w:rPr>
              <w:t>VTE</w:t>
            </w:r>
            <w:r>
              <w:rPr>
                <w:rFonts w:hint="eastAsia"/>
                <w:sz w:val="24"/>
                <w:szCs w:val="20"/>
              </w:rPr>
              <w:t>信息化系统奖项的</w:t>
            </w:r>
            <w:r>
              <w:rPr>
                <w:rFonts w:hint="eastAsia"/>
                <w:sz w:val="24"/>
              </w:rPr>
              <w:t>每提供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分，最高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分，未提供的不计分。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售后服务承诺</w:t>
            </w:r>
          </w:p>
          <w:p w:rsidR="006C2E3C" w:rsidRDefault="006C2E3C" w:rsidP="00057E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center"/>
          </w:tcPr>
          <w:p w:rsidR="006C2E3C" w:rsidRDefault="006C2E3C" w:rsidP="00CC2B0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服务内容完善、合理、全面、可行的，能够提供详细、优质的售后服务方案描述的</w:t>
            </w:r>
            <w:r>
              <w:rPr>
                <w:rFonts w:hint="eastAsia"/>
                <w:sz w:val="24"/>
              </w:rPr>
              <w:lastRenderedPageBreak/>
              <w:t>得</w:t>
            </w:r>
            <w:r w:rsidR="00CC2B0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分，内容差的得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分，没有的不得分。</w:t>
            </w:r>
          </w:p>
        </w:tc>
      </w:tr>
      <w:tr w:rsidR="006C2E3C" w:rsidTr="006C2E3C">
        <w:trPr>
          <w:trHeight w:val="567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免费维保期</w:t>
            </w:r>
          </w:p>
          <w:p w:rsidR="006C2E3C" w:rsidRDefault="006C2E3C" w:rsidP="00057EB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在满足招标文件维保期的基础上（验收合格后一年），维保期内具备明确的升级方案、技术标准并符合未来</w:t>
            </w:r>
            <w:r>
              <w:rPr>
                <w:rFonts w:hint="eastAsia"/>
                <w:sz w:val="24"/>
              </w:rPr>
              <w:t>V</w:t>
            </w:r>
            <w:r>
              <w:rPr>
                <w:sz w:val="24"/>
              </w:rPr>
              <w:t>TE</w:t>
            </w:r>
            <w:r>
              <w:rPr>
                <w:rFonts w:hint="eastAsia"/>
                <w:sz w:val="24"/>
              </w:rPr>
              <w:t>发展情况的，得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分（增加不满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年的不得分），满分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分。</w:t>
            </w:r>
          </w:p>
          <w:p w:rsidR="006C2E3C" w:rsidRDefault="006C2E3C" w:rsidP="00057EB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注：以投标响应表或投标人承诺作为评审依据。</w:t>
            </w:r>
          </w:p>
        </w:tc>
      </w:tr>
      <w:tr w:rsidR="006C2E3C" w:rsidTr="006C2E3C">
        <w:trPr>
          <w:trHeight w:val="229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投标产品报价</w:t>
            </w:r>
          </w:p>
          <w:p w:rsidR="006C2E3C" w:rsidRDefault="006C2E3C" w:rsidP="00057EBA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  <w:proofErr w:type="gramStart"/>
            <w:r>
              <w:rPr>
                <w:rFonts w:hint="eastAsia"/>
                <w:sz w:val="24"/>
              </w:rPr>
              <w:t>分统一</w:t>
            </w:r>
            <w:proofErr w:type="gramEnd"/>
            <w:r>
              <w:rPr>
                <w:rFonts w:hint="eastAsia"/>
                <w:sz w:val="24"/>
              </w:rPr>
              <w:t>采用低价优先法，即满足招标文件要求且投标价格最低的投标报价为评标基准价，其价格分为满分</w:t>
            </w:r>
            <w:r>
              <w:rPr>
                <w:rFonts w:hint="eastAsia"/>
                <w:sz w:val="24"/>
                <w:u w:val="single"/>
              </w:rPr>
              <w:t xml:space="preserve">20 </w:t>
            </w:r>
            <w:r>
              <w:rPr>
                <w:rFonts w:hint="eastAsia"/>
                <w:sz w:val="24"/>
              </w:rPr>
              <w:t>分。其他投标人的价格</w:t>
            </w:r>
            <w:proofErr w:type="gramStart"/>
            <w:r>
              <w:rPr>
                <w:rFonts w:hint="eastAsia"/>
                <w:sz w:val="24"/>
              </w:rPr>
              <w:t>分统一</w:t>
            </w:r>
            <w:proofErr w:type="gramEnd"/>
            <w:r>
              <w:rPr>
                <w:rFonts w:hint="eastAsia"/>
                <w:sz w:val="24"/>
              </w:rPr>
              <w:t>按照下列公式计算：</w:t>
            </w:r>
          </w:p>
          <w:p w:rsidR="006C2E3C" w:rsidRDefault="006C2E3C" w:rsidP="00057EB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投标报价得分＝（评标基准价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投标报价）×</w:t>
            </w:r>
            <w:r>
              <w:rPr>
                <w:rFonts w:hint="eastAsia"/>
                <w:sz w:val="24"/>
                <w:u w:val="single"/>
              </w:rPr>
              <w:t xml:space="preserve"> 20</w:t>
            </w:r>
            <w:r>
              <w:rPr>
                <w:rFonts w:hint="eastAsia"/>
                <w:bCs/>
                <w:sz w:val="24"/>
              </w:rPr>
              <w:t>（保留两位小数，第三位四舍五入）</w:t>
            </w:r>
          </w:p>
        </w:tc>
      </w:tr>
      <w:tr w:rsidR="006C2E3C" w:rsidTr="006C2E3C">
        <w:trPr>
          <w:trHeight w:val="229"/>
          <w:jc w:val="center"/>
        </w:trPr>
        <w:tc>
          <w:tcPr>
            <w:tcW w:w="1672" w:type="pct"/>
            <w:vAlign w:val="center"/>
          </w:tcPr>
          <w:p w:rsidR="006C2E3C" w:rsidRDefault="006C2E3C" w:rsidP="00057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质保期之后每年的维保费</w:t>
            </w:r>
          </w:p>
          <w:p w:rsidR="006C2E3C" w:rsidRDefault="006C2E3C" w:rsidP="00057EBA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3328" w:type="pct"/>
            <w:vAlign w:val="center"/>
          </w:tcPr>
          <w:p w:rsidR="006C2E3C" w:rsidRDefault="006C2E3C" w:rsidP="00057E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  <w:proofErr w:type="gramStart"/>
            <w:r>
              <w:rPr>
                <w:rFonts w:hint="eastAsia"/>
                <w:sz w:val="24"/>
              </w:rPr>
              <w:t>分统一</w:t>
            </w:r>
            <w:proofErr w:type="gramEnd"/>
            <w:r>
              <w:rPr>
                <w:rFonts w:hint="eastAsia"/>
                <w:sz w:val="24"/>
              </w:rPr>
              <w:t>采用低价优先法，即满足招标文件要求且投标价格最低的投标报价为评标基准价，其价格分为满分</w:t>
            </w:r>
            <w:r>
              <w:rPr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分。其他投标人的价格</w:t>
            </w:r>
            <w:proofErr w:type="gramStart"/>
            <w:r>
              <w:rPr>
                <w:rFonts w:hint="eastAsia"/>
                <w:sz w:val="24"/>
              </w:rPr>
              <w:t>分统一</w:t>
            </w:r>
            <w:proofErr w:type="gramEnd"/>
            <w:r>
              <w:rPr>
                <w:rFonts w:hint="eastAsia"/>
                <w:sz w:val="24"/>
              </w:rPr>
              <w:t>按照下列公式计算：</w:t>
            </w:r>
          </w:p>
          <w:p w:rsidR="006C2E3C" w:rsidRDefault="006C2E3C" w:rsidP="00057EB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投标报价得分＝（评标基准价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投标报价）×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  <w:r>
              <w:rPr>
                <w:rFonts w:hint="eastAsia"/>
                <w:bCs/>
                <w:sz w:val="24"/>
              </w:rPr>
              <w:t>（保留两位小数，第三位四舍五入）</w:t>
            </w:r>
          </w:p>
        </w:tc>
      </w:tr>
    </w:tbl>
    <w:p w:rsidR="0021535E" w:rsidRPr="0021535E" w:rsidRDefault="0021535E"/>
    <w:sectPr w:rsidR="0021535E" w:rsidRPr="0021535E" w:rsidSect="0003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D9" w:rsidRDefault="00BC7DD9" w:rsidP="0021535E">
      <w:r>
        <w:separator/>
      </w:r>
    </w:p>
  </w:endnote>
  <w:endnote w:type="continuationSeparator" w:id="0">
    <w:p w:rsidR="00BC7DD9" w:rsidRDefault="00BC7DD9" w:rsidP="0021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D9" w:rsidRDefault="00BC7DD9" w:rsidP="0021535E">
      <w:r>
        <w:separator/>
      </w:r>
    </w:p>
  </w:footnote>
  <w:footnote w:type="continuationSeparator" w:id="0">
    <w:p w:rsidR="00BC7DD9" w:rsidRDefault="00BC7DD9" w:rsidP="00215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35E"/>
    <w:rsid w:val="0003677D"/>
    <w:rsid w:val="001C73AB"/>
    <w:rsid w:val="0021535E"/>
    <w:rsid w:val="004774EF"/>
    <w:rsid w:val="004A5115"/>
    <w:rsid w:val="004B3360"/>
    <w:rsid w:val="00660BE1"/>
    <w:rsid w:val="006C2E3C"/>
    <w:rsid w:val="007511BF"/>
    <w:rsid w:val="007C2F24"/>
    <w:rsid w:val="009B1FF7"/>
    <w:rsid w:val="00BC7DD9"/>
    <w:rsid w:val="00C43875"/>
    <w:rsid w:val="00CC2B01"/>
    <w:rsid w:val="00CC7430"/>
    <w:rsid w:val="00D57FD2"/>
    <w:rsid w:val="00DB21BF"/>
    <w:rsid w:val="00E05889"/>
    <w:rsid w:val="00F64188"/>
    <w:rsid w:val="00FA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35E"/>
    <w:rPr>
      <w:sz w:val="18"/>
      <w:szCs w:val="18"/>
    </w:rPr>
  </w:style>
  <w:style w:type="paragraph" w:customStyle="1" w:styleId="a5">
    <w:uiPriority w:val="99"/>
    <w:unhideWhenUsed/>
    <w:qFormat/>
    <w:rsid w:val="0021535E"/>
    <w:pPr>
      <w:widowControl w:val="0"/>
      <w:spacing w:after="120"/>
      <w:ind w:leftChars="200" w:left="420" w:firstLineChars="200" w:firstLine="420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99"/>
    <w:qFormat/>
    <w:rsid w:val="0021535E"/>
    <w:pPr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2022-07-06T06:59:00Z</dcterms:created>
  <dcterms:modified xsi:type="dcterms:W3CDTF">2022-07-06T07:29:00Z</dcterms:modified>
</cp:coreProperties>
</file>