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64121" w14:textId="4E99D081" w:rsidR="00186596" w:rsidRDefault="00186596" w:rsidP="00186596">
      <w:pPr>
        <w:pStyle w:val="1"/>
        <w:ind w:left="0" w:firstLine="0"/>
        <w:jc w:val="center"/>
        <w:rPr>
          <w:b/>
          <w:sz w:val="44"/>
          <w:szCs w:val="44"/>
        </w:rPr>
      </w:pPr>
      <w:bookmarkStart w:id="0" w:name="评分要点"/>
      <w:bookmarkStart w:id="1" w:name="_Toc67901589"/>
      <w:bookmarkEnd w:id="0"/>
      <w:r>
        <w:rPr>
          <w:rFonts w:hint="eastAsia"/>
          <w:b/>
          <w:sz w:val="44"/>
          <w:szCs w:val="44"/>
        </w:rPr>
        <w:t>评审办法和评分标准</w:t>
      </w:r>
      <w:bookmarkEnd w:id="1"/>
    </w:p>
    <w:p w14:paraId="231D55DF" w14:textId="77777777" w:rsidR="00186596" w:rsidRDefault="00186596" w:rsidP="00186596">
      <w:pPr>
        <w:wordWrap/>
        <w:spacing w:line="360" w:lineRule="auto"/>
        <w:ind w:left="0" w:firstLineChars="200" w:firstLine="422"/>
        <w:rPr>
          <w:b/>
          <w:sz w:val="21"/>
          <w:szCs w:val="21"/>
        </w:rPr>
      </w:pPr>
      <w:bookmarkStart w:id="2" w:name="_Toc698"/>
      <w:bookmarkStart w:id="3" w:name="_Toc16264"/>
      <w:bookmarkStart w:id="4" w:name="_Toc17476"/>
      <w:r>
        <w:rPr>
          <w:rFonts w:hint="eastAsia"/>
          <w:b/>
          <w:sz w:val="21"/>
          <w:szCs w:val="21"/>
        </w:rPr>
        <w:t>一、评审办法：</w:t>
      </w:r>
      <w:bookmarkEnd w:id="2"/>
      <w:bookmarkEnd w:id="3"/>
      <w:bookmarkEnd w:id="4"/>
    </w:p>
    <w:p w14:paraId="37741F68" w14:textId="082BE237" w:rsidR="00186596" w:rsidRDefault="00186596" w:rsidP="00186596">
      <w:pPr>
        <w:widowControl w:val="0"/>
        <w:wordWrap/>
        <w:adjustRightInd w:val="0"/>
        <w:snapToGrid w:val="0"/>
        <w:spacing w:line="360" w:lineRule="auto"/>
        <w:ind w:left="0" w:firstLineChars="200" w:firstLine="420"/>
        <w:jc w:val="left"/>
        <w:rPr>
          <w:rFonts w:ascii="宋体" w:hAnsi="宋体" w:cs="宋体"/>
          <w:sz w:val="21"/>
        </w:rPr>
      </w:pPr>
      <w:r>
        <w:rPr>
          <w:rFonts w:ascii="宋体" w:hAnsi="宋体" w:cs="宋体" w:hint="eastAsia"/>
          <w:sz w:val="21"/>
        </w:rPr>
        <w:t>1．本次</w:t>
      </w:r>
      <w:r w:rsidR="00FD51E7">
        <w:rPr>
          <w:rFonts w:ascii="宋体" w:hAnsi="宋体" w:cs="宋体" w:hint="eastAsia"/>
          <w:sz w:val="21"/>
        </w:rPr>
        <w:t>磋商</w:t>
      </w:r>
      <w:r>
        <w:rPr>
          <w:rFonts w:ascii="宋体" w:hAnsi="宋体" w:cs="宋体" w:hint="eastAsia"/>
          <w:sz w:val="21"/>
        </w:rPr>
        <w:t>采用综合评分法，即在</w:t>
      </w:r>
      <w:r>
        <w:rPr>
          <w:rFonts w:ascii="宋体" w:hAnsi="宋体" w:cs="宋体"/>
          <w:sz w:val="21"/>
        </w:rPr>
        <w:t>响应文件满足</w:t>
      </w:r>
      <w:r>
        <w:rPr>
          <w:rFonts w:ascii="宋体" w:hAnsi="宋体" w:cs="宋体" w:hint="eastAsia"/>
          <w:sz w:val="21"/>
        </w:rPr>
        <w:t>采购</w:t>
      </w:r>
      <w:r>
        <w:rPr>
          <w:rFonts w:ascii="宋体" w:hAnsi="宋体" w:cs="宋体"/>
          <w:sz w:val="21"/>
        </w:rPr>
        <w:t>文件全部实质性要求且按评审因素的量化指标评审得分最高的供应商为成交商</w:t>
      </w:r>
      <w:r>
        <w:rPr>
          <w:rFonts w:ascii="宋体" w:hAnsi="宋体" w:cs="宋体" w:hint="eastAsia"/>
          <w:sz w:val="21"/>
        </w:rPr>
        <w:t>。</w:t>
      </w:r>
    </w:p>
    <w:p w14:paraId="7CE5B8FC" w14:textId="0FBCCCA8" w:rsidR="00186596" w:rsidRDefault="00186596" w:rsidP="00186596">
      <w:pPr>
        <w:widowControl w:val="0"/>
        <w:wordWrap/>
        <w:adjustRightInd w:val="0"/>
        <w:snapToGrid w:val="0"/>
        <w:spacing w:line="360" w:lineRule="auto"/>
        <w:ind w:left="0" w:firstLineChars="200" w:firstLine="420"/>
        <w:jc w:val="left"/>
        <w:rPr>
          <w:rFonts w:ascii="宋体" w:hAnsi="宋体" w:cs="宋体"/>
          <w:sz w:val="21"/>
        </w:rPr>
      </w:pPr>
      <w:r>
        <w:rPr>
          <w:rFonts w:ascii="宋体" w:hAnsi="宋体" w:cs="宋体" w:hint="eastAsia"/>
          <w:sz w:val="21"/>
        </w:rPr>
        <w:t>2．</w:t>
      </w:r>
      <w:r w:rsidR="00FD51E7">
        <w:rPr>
          <w:rFonts w:ascii="宋体" w:hAnsi="宋体" w:cs="宋体" w:hint="eastAsia"/>
          <w:sz w:val="21"/>
        </w:rPr>
        <w:t>评分</w:t>
      </w:r>
      <w:r>
        <w:rPr>
          <w:rFonts w:ascii="宋体" w:hAnsi="宋体" w:cs="宋体" w:hint="eastAsia"/>
          <w:sz w:val="21"/>
        </w:rPr>
        <w:t>小组各成员独立对每个进入打分程序的有效磋商供应商的响应文件技术和资质部分以打分的形式进行评审和评价。</w:t>
      </w:r>
    </w:p>
    <w:p w14:paraId="13F6A472" w14:textId="77777777" w:rsidR="00186596" w:rsidRDefault="00186596" w:rsidP="00186596">
      <w:pPr>
        <w:widowControl w:val="0"/>
        <w:wordWrap/>
        <w:adjustRightInd w:val="0"/>
        <w:snapToGrid w:val="0"/>
        <w:spacing w:line="360" w:lineRule="auto"/>
        <w:ind w:left="0" w:firstLineChars="200" w:firstLine="420"/>
        <w:jc w:val="left"/>
        <w:rPr>
          <w:rFonts w:ascii="宋体" w:hAnsi="宋体" w:cs="宋体"/>
          <w:sz w:val="21"/>
        </w:rPr>
      </w:pPr>
      <w:r>
        <w:rPr>
          <w:rFonts w:ascii="宋体" w:hAnsi="宋体" w:cs="宋体" w:hint="eastAsia"/>
          <w:sz w:val="21"/>
        </w:rPr>
        <w:t>3．对评委的评分（除价格分外）进行统计汇总，直接算术平均计算出每个磋商供应商的得分，加上价格得分即为每个磋商供应商的综合得分。</w:t>
      </w:r>
    </w:p>
    <w:p w14:paraId="780F577E" w14:textId="0D57ECCE" w:rsidR="00186596" w:rsidRDefault="00186596" w:rsidP="00186596">
      <w:pPr>
        <w:widowControl w:val="0"/>
        <w:wordWrap/>
        <w:adjustRightInd w:val="0"/>
        <w:snapToGrid w:val="0"/>
        <w:spacing w:line="360" w:lineRule="auto"/>
        <w:ind w:left="0" w:firstLineChars="200" w:firstLine="420"/>
        <w:jc w:val="left"/>
        <w:rPr>
          <w:rFonts w:ascii="宋体" w:hAnsi="宋体" w:cs="宋体"/>
          <w:sz w:val="21"/>
          <w:szCs w:val="22"/>
        </w:rPr>
      </w:pPr>
      <w:r>
        <w:rPr>
          <w:rFonts w:ascii="宋体" w:hAnsi="宋体" w:cs="宋体"/>
          <w:sz w:val="21"/>
        </w:rPr>
        <w:t>4</w:t>
      </w:r>
      <w:r>
        <w:rPr>
          <w:rFonts w:ascii="宋体" w:hAnsi="宋体" w:cs="宋体" w:hint="eastAsia"/>
          <w:sz w:val="21"/>
        </w:rPr>
        <w:t>．如出现评审总得分最高的磋商供应商有两个或两个以上的，以磋商报价较低者优先作为成交候选人，</w:t>
      </w:r>
      <w:r>
        <w:rPr>
          <w:rFonts w:ascii="宋体" w:hAnsi="宋体" w:cs="宋体" w:hint="eastAsia"/>
          <w:sz w:val="21"/>
          <w:szCs w:val="22"/>
        </w:rPr>
        <w:t>如果磋商报价也相同的，则由采购人</w:t>
      </w:r>
      <w:proofErr w:type="gramStart"/>
      <w:r w:rsidR="00AB3AEB">
        <w:rPr>
          <w:rFonts w:ascii="宋体" w:hAnsi="宋体" w:cs="宋体" w:hint="eastAsia"/>
          <w:sz w:val="21"/>
          <w:szCs w:val="22"/>
        </w:rPr>
        <w:t>参考增值</w:t>
      </w:r>
      <w:proofErr w:type="gramEnd"/>
      <w:r w:rsidR="00AB3AEB">
        <w:rPr>
          <w:rFonts w:ascii="宋体" w:hAnsi="宋体" w:cs="宋体" w:hint="eastAsia"/>
          <w:sz w:val="21"/>
          <w:szCs w:val="22"/>
        </w:rPr>
        <w:t>服务等因素投票</w:t>
      </w:r>
      <w:r>
        <w:rPr>
          <w:rFonts w:ascii="宋体" w:hAnsi="宋体" w:cs="宋体" w:hint="eastAsia"/>
          <w:sz w:val="21"/>
          <w:szCs w:val="22"/>
        </w:rPr>
        <w:t>确定成交候选人。</w:t>
      </w:r>
    </w:p>
    <w:p w14:paraId="7F9C71CF" w14:textId="4AEC51D3" w:rsidR="00186596" w:rsidRDefault="00186596" w:rsidP="00186596">
      <w:pPr>
        <w:widowControl w:val="0"/>
        <w:wordWrap/>
        <w:adjustRightInd w:val="0"/>
        <w:snapToGrid w:val="0"/>
        <w:spacing w:line="360" w:lineRule="auto"/>
        <w:ind w:left="0" w:firstLineChars="200" w:firstLine="420"/>
        <w:jc w:val="left"/>
        <w:rPr>
          <w:rFonts w:ascii="宋体" w:hAnsi="宋体" w:cs="宋体"/>
          <w:sz w:val="21"/>
          <w:szCs w:val="22"/>
        </w:rPr>
      </w:pPr>
      <w:r>
        <w:rPr>
          <w:rFonts w:ascii="宋体" w:hAnsi="宋体" w:cs="宋体" w:hint="eastAsia"/>
          <w:sz w:val="21"/>
          <w:szCs w:val="22"/>
        </w:rPr>
        <w:t>5．如供应</w:t>
      </w:r>
      <w:proofErr w:type="gramStart"/>
      <w:r>
        <w:rPr>
          <w:rFonts w:ascii="宋体" w:hAnsi="宋体" w:cs="宋体" w:hint="eastAsia"/>
          <w:sz w:val="21"/>
          <w:szCs w:val="22"/>
        </w:rPr>
        <w:t>商存在</w:t>
      </w:r>
      <w:proofErr w:type="gramEnd"/>
      <w:r>
        <w:rPr>
          <w:rFonts w:ascii="宋体" w:hAnsi="宋体" w:cs="宋体" w:hint="eastAsia"/>
          <w:sz w:val="21"/>
          <w:szCs w:val="22"/>
        </w:rPr>
        <w:t>失信或不良行为，</w:t>
      </w:r>
      <w:r>
        <w:rPr>
          <w:rFonts w:ascii="宋体" w:hAnsi="宋体" w:cs="宋体" w:hint="eastAsia"/>
          <w:sz w:val="21"/>
        </w:rPr>
        <w:t>为无效供应商</w:t>
      </w:r>
      <w:r>
        <w:rPr>
          <w:rFonts w:ascii="宋体" w:hAnsi="宋体" w:cs="宋体" w:hint="eastAsia"/>
          <w:sz w:val="21"/>
          <w:szCs w:val="22"/>
        </w:rPr>
        <w:t>。</w:t>
      </w:r>
    </w:p>
    <w:p w14:paraId="19DFDABB" w14:textId="77777777" w:rsidR="00186596" w:rsidRDefault="00186596" w:rsidP="00186596">
      <w:pPr>
        <w:widowControl w:val="0"/>
        <w:wordWrap/>
        <w:adjustRightInd w:val="0"/>
        <w:snapToGrid w:val="0"/>
        <w:spacing w:line="360" w:lineRule="auto"/>
        <w:ind w:left="0" w:firstLineChars="200" w:firstLine="422"/>
        <w:jc w:val="left"/>
        <w:rPr>
          <w:rFonts w:ascii="宋体" w:hAnsi="宋体" w:cs="宋体"/>
          <w:b/>
          <w:sz w:val="21"/>
          <w:szCs w:val="21"/>
        </w:rPr>
      </w:pPr>
      <w:r>
        <w:rPr>
          <w:rFonts w:ascii="宋体" w:hAnsi="宋体" w:cs="宋体" w:hint="eastAsia"/>
          <w:b/>
          <w:sz w:val="21"/>
          <w:szCs w:val="21"/>
        </w:rPr>
        <w:t>二、评分标准：</w:t>
      </w:r>
    </w:p>
    <w:p w14:paraId="3BD700B1" w14:textId="77777777" w:rsidR="00186596" w:rsidRDefault="00186596" w:rsidP="00186596">
      <w:pPr>
        <w:widowControl w:val="0"/>
        <w:wordWrap/>
        <w:spacing w:line="360" w:lineRule="auto"/>
        <w:ind w:left="0" w:firstLineChars="200" w:firstLine="422"/>
        <w:rPr>
          <w:rFonts w:ascii="宋体" w:hAnsi="宋体" w:cs="宋体"/>
          <w:b/>
          <w:bCs/>
          <w:kern w:val="2"/>
          <w:sz w:val="21"/>
          <w:szCs w:val="21"/>
        </w:rPr>
      </w:pPr>
      <w:r>
        <w:rPr>
          <w:rFonts w:ascii="宋体" w:hAnsi="宋体" w:cs="宋体" w:hint="eastAsia"/>
          <w:b/>
          <w:bCs/>
          <w:kern w:val="2"/>
          <w:sz w:val="21"/>
          <w:szCs w:val="21"/>
        </w:rPr>
        <w:t>（一）价格：</w:t>
      </w:r>
      <w:r>
        <w:rPr>
          <w:rFonts w:ascii="宋体" w:hAnsi="宋体" w:cs="宋体"/>
          <w:b/>
          <w:bCs/>
          <w:kern w:val="2"/>
          <w:sz w:val="21"/>
          <w:szCs w:val="21"/>
        </w:rPr>
        <w:t>20</w:t>
      </w:r>
      <w:r>
        <w:rPr>
          <w:rFonts w:ascii="宋体" w:hAnsi="宋体" w:cs="宋体" w:hint="eastAsia"/>
          <w:b/>
          <w:bCs/>
          <w:kern w:val="2"/>
          <w:sz w:val="21"/>
          <w:szCs w:val="21"/>
        </w:rPr>
        <w:t>分</w:t>
      </w:r>
    </w:p>
    <w:p w14:paraId="42424817" w14:textId="32E3E6D9" w:rsidR="00186596" w:rsidRDefault="00186596" w:rsidP="00186596">
      <w:pPr>
        <w:widowControl w:val="0"/>
        <w:wordWrap/>
        <w:adjustRightInd w:val="0"/>
        <w:snapToGrid w:val="0"/>
        <w:spacing w:line="360" w:lineRule="auto"/>
        <w:ind w:left="0" w:firstLineChars="200" w:firstLine="420"/>
        <w:jc w:val="left"/>
        <w:rPr>
          <w:rFonts w:ascii="宋体" w:hAnsi="宋体" w:cs="宋体"/>
          <w:sz w:val="21"/>
        </w:rPr>
      </w:pPr>
      <w:r>
        <w:rPr>
          <w:rFonts w:ascii="宋体" w:hAnsi="宋体" w:cs="宋体" w:hint="eastAsia"/>
          <w:sz w:val="21"/>
        </w:rPr>
        <w:t>第一步：</w:t>
      </w:r>
      <w:proofErr w:type="gramStart"/>
      <w:r>
        <w:rPr>
          <w:rFonts w:ascii="宋体" w:hAnsi="宋体" w:cs="宋体" w:hint="eastAsia"/>
          <w:sz w:val="21"/>
        </w:rPr>
        <w:t>响应总</w:t>
      </w:r>
      <w:proofErr w:type="gramEnd"/>
      <w:r>
        <w:rPr>
          <w:rFonts w:ascii="宋体" w:hAnsi="宋体" w:cs="宋体" w:hint="eastAsia"/>
          <w:sz w:val="21"/>
        </w:rPr>
        <w:t>报价低于或等于预算价格的，为</w:t>
      </w:r>
      <w:proofErr w:type="gramStart"/>
      <w:r>
        <w:rPr>
          <w:rFonts w:ascii="宋体" w:hAnsi="宋体" w:cs="宋体" w:hint="eastAsia"/>
          <w:sz w:val="21"/>
        </w:rPr>
        <w:t>有效响应</w:t>
      </w:r>
      <w:proofErr w:type="gramEnd"/>
      <w:r>
        <w:rPr>
          <w:rFonts w:ascii="宋体" w:hAnsi="宋体" w:cs="宋体" w:hint="eastAsia"/>
          <w:sz w:val="21"/>
        </w:rPr>
        <w:t>报价。超预算的响应报价为无效响应报价。</w:t>
      </w:r>
    </w:p>
    <w:p w14:paraId="03D46044" w14:textId="77777777" w:rsidR="00186596" w:rsidRDefault="00186596" w:rsidP="00186596">
      <w:pPr>
        <w:widowControl w:val="0"/>
        <w:wordWrap/>
        <w:adjustRightInd w:val="0"/>
        <w:snapToGrid w:val="0"/>
        <w:spacing w:line="360" w:lineRule="auto"/>
        <w:ind w:left="0" w:firstLineChars="200" w:firstLine="420"/>
        <w:jc w:val="left"/>
        <w:rPr>
          <w:rFonts w:ascii="宋体" w:hAnsi="宋体" w:cs="宋体"/>
          <w:sz w:val="21"/>
        </w:rPr>
      </w:pPr>
      <w:r>
        <w:rPr>
          <w:rFonts w:ascii="宋体" w:hAnsi="宋体" w:cs="宋体" w:hint="eastAsia"/>
          <w:sz w:val="21"/>
        </w:rPr>
        <w:t>第二步：在所有</w:t>
      </w:r>
      <w:proofErr w:type="gramStart"/>
      <w:r>
        <w:rPr>
          <w:rFonts w:ascii="宋体" w:hAnsi="宋体" w:cs="宋体" w:hint="eastAsia"/>
          <w:sz w:val="21"/>
        </w:rPr>
        <w:t>有效响应</w:t>
      </w:r>
      <w:proofErr w:type="gramEnd"/>
      <w:r>
        <w:rPr>
          <w:rFonts w:ascii="宋体" w:hAnsi="宋体" w:cs="宋体" w:hint="eastAsia"/>
          <w:sz w:val="21"/>
        </w:rPr>
        <w:t>报价中满足采购文件要求，且响应价格最低的响应报价为评审基准价，其他供应商的价格</w:t>
      </w:r>
      <w:proofErr w:type="gramStart"/>
      <w:r>
        <w:rPr>
          <w:rFonts w:ascii="宋体" w:hAnsi="宋体" w:cs="宋体" w:hint="eastAsia"/>
          <w:sz w:val="21"/>
        </w:rPr>
        <w:t>分按照</w:t>
      </w:r>
      <w:proofErr w:type="gramEnd"/>
      <w:r>
        <w:rPr>
          <w:rFonts w:ascii="宋体" w:hAnsi="宋体" w:cs="宋体" w:hint="eastAsia"/>
          <w:sz w:val="21"/>
        </w:rPr>
        <w:t>下列公式计算（计算结果四舍五入保留两位小数）。</w:t>
      </w:r>
    </w:p>
    <w:p w14:paraId="057DD63E" w14:textId="77777777" w:rsidR="00186596" w:rsidRDefault="00186596" w:rsidP="00186596">
      <w:pPr>
        <w:widowControl w:val="0"/>
        <w:wordWrap/>
        <w:adjustRightInd w:val="0"/>
        <w:snapToGrid w:val="0"/>
        <w:spacing w:line="360" w:lineRule="auto"/>
        <w:ind w:left="0" w:firstLineChars="200" w:firstLine="420"/>
        <w:jc w:val="left"/>
        <w:rPr>
          <w:rFonts w:ascii="宋体" w:hAnsi="宋体" w:cs="宋体"/>
          <w:sz w:val="21"/>
        </w:rPr>
      </w:pPr>
      <w:r>
        <w:rPr>
          <w:rFonts w:ascii="宋体" w:hAnsi="宋体" w:cs="宋体" w:hint="eastAsia"/>
          <w:sz w:val="21"/>
        </w:rPr>
        <w:t>磋商报价得分＝（磋商基准价/最终磋商报价）×</w:t>
      </w:r>
      <w:r>
        <w:rPr>
          <w:rFonts w:ascii="宋体" w:hAnsi="宋体" w:cs="宋体"/>
          <w:sz w:val="21"/>
        </w:rPr>
        <w:t>2</w:t>
      </w:r>
      <w:r>
        <w:rPr>
          <w:rFonts w:ascii="宋体" w:hAnsi="宋体" w:cs="宋体" w:hint="eastAsia"/>
          <w:sz w:val="21"/>
        </w:rPr>
        <w:t>0％×100</w:t>
      </w:r>
    </w:p>
    <w:p w14:paraId="4790AB37" w14:textId="574A8C6C" w:rsidR="00186596" w:rsidRPr="004D68CA" w:rsidRDefault="00186596" w:rsidP="00186596">
      <w:pPr>
        <w:widowControl w:val="0"/>
        <w:wordWrap/>
        <w:adjustRightInd w:val="0"/>
        <w:spacing w:line="360" w:lineRule="auto"/>
        <w:ind w:left="0" w:firstLineChars="100" w:firstLine="211"/>
        <w:jc w:val="left"/>
        <w:outlineLvl w:val="1"/>
        <w:rPr>
          <w:rFonts w:ascii="宋体" w:hAnsi="宋体" w:cs="宋体"/>
          <w:b/>
          <w:bCs/>
          <w:color w:val="FF0000"/>
          <w:sz w:val="21"/>
          <w:szCs w:val="21"/>
        </w:rPr>
      </w:pPr>
      <w:r w:rsidRPr="004D68CA">
        <w:rPr>
          <w:rFonts w:ascii="宋体" w:hAnsi="宋体" w:cs="宋体" w:hint="eastAsia"/>
          <w:b/>
          <w:bCs/>
          <w:color w:val="FF0000"/>
          <w:sz w:val="21"/>
          <w:szCs w:val="21"/>
        </w:rPr>
        <w:t>（二）技术方案：</w:t>
      </w:r>
      <w:r w:rsidR="004D68CA">
        <w:rPr>
          <w:rFonts w:ascii="宋体" w:hAnsi="宋体" w:cs="宋体"/>
          <w:b/>
          <w:bCs/>
          <w:color w:val="FF0000"/>
          <w:sz w:val="21"/>
          <w:szCs w:val="21"/>
        </w:rPr>
        <w:t>35</w:t>
      </w:r>
      <w:r w:rsidRPr="004D68CA">
        <w:rPr>
          <w:rFonts w:ascii="宋体" w:hAnsi="宋体" w:cs="宋体" w:hint="eastAsia"/>
          <w:b/>
          <w:bCs/>
          <w:color w:val="FF0000"/>
          <w:sz w:val="21"/>
          <w:szCs w:val="21"/>
        </w:rPr>
        <w:t>分</w:t>
      </w:r>
    </w:p>
    <w:p w14:paraId="14053AA5" w14:textId="4F53DBAE" w:rsidR="00186596" w:rsidRDefault="00186596" w:rsidP="00186596">
      <w:pPr>
        <w:widowControl w:val="0"/>
        <w:wordWrap/>
        <w:adjustRightInd w:val="0"/>
        <w:spacing w:line="360" w:lineRule="auto"/>
        <w:ind w:left="0" w:firstLineChars="200" w:firstLine="420"/>
        <w:rPr>
          <w:rFonts w:ascii="宋体" w:hAnsi="宋体" w:cs="宋体"/>
          <w:sz w:val="21"/>
          <w:szCs w:val="21"/>
        </w:rPr>
      </w:pPr>
      <w:r>
        <w:rPr>
          <w:rFonts w:ascii="宋体" w:hAnsi="宋体" w:cs="宋体" w:hint="eastAsia"/>
          <w:sz w:val="21"/>
          <w:szCs w:val="21"/>
        </w:rPr>
        <w:t>1</w:t>
      </w:r>
      <w:r>
        <w:rPr>
          <w:rFonts w:ascii="宋体" w:hAnsi="宋体" w:cs="宋体"/>
          <w:sz w:val="21"/>
          <w:szCs w:val="21"/>
        </w:rPr>
        <w:t>.</w:t>
      </w:r>
      <w:r>
        <w:rPr>
          <w:rFonts w:ascii="宋体" w:hAnsi="宋体" w:cs="宋体" w:hint="eastAsia"/>
          <w:sz w:val="21"/>
          <w:szCs w:val="21"/>
        </w:rPr>
        <w:t>项目组织设计方案：</w:t>
      </w:r>
      <w:r w:rsidR="008B329D">
        <w:rPr>
          <w:rFonts w:ascii="宋体" w:hAnsi="宋体" w:cs="宋体"/>
          <w:sz w:val="21"/>
          <w:szCs w:val="21"/>
        </w:rPr>
        <w:t>5</w:t>
      </w:r>
      <w:r>
        <w:rPr>
          <w:rFonts w:ascii="宋体" w:hAnsi="宋体" w:cs="宋体" w:hint="eastAsia"/>
          <w:sz w:val="21"/>
          <w:szCs w:val="21"/>
        </w:rPr>
        <w:t>分</w:t>
      </w:r>
    </w:p>
    <w:p w14:paraId="27A7815E" w14:textId="6E872D69" w:rsidR="00186596" w:rsidRDefault="00186596" w:rsidP="00186596">
      <w:pPr>
        <w:widowControl w:val="0"/>
        <w:wordWrap/>
        <w:adjustRightInd w:val="0"/>
        <w:spacing w:line="360" w:lineRule="auto"/>
        <w:ind w:left="0" w:firstLineChars="200" w:firstLine="420"/>
        <w:rPr>
          <w:rFonts w:ascii="宋体" w:hAnsi="宋体" w:cs="宋体"/>
          <w:sz w:val="21"/>
          <w:szCs w:val="21"/>
        </w:rPr>
      </w:pPr>
      <w:r>
        <w:rPr>
          <w:rFonts w:ascii="宋体" w:hAnsi="宋体" w:cs="宋体" w:hint="eastAsia"/>
          <w:sz w:val="21"/>
          <w:szCs w:val="21"/>
        </w:rPr>
        <w:t>项目组织设计包括时间计划、工具配备及人员的分工安排等。时间计划契合项目进度、工具配备齐全、人员分工安排合理的得</w:t>
      </w:r>
      <w:r w:rsidR="008B329D">
        <w:rPr>
          <w:rFonts w:ascii="宋体" w:hAnsi="宋体" w:cs="宋体"/>
          <w:sz w:val="21"/>
          <w:szCs w:val="21"/>
        </w:rPr>
        <w:t>5</w:t>
      </w:r>
      <w:r>
        <w:rPr>
          <w:rFonts w:ascii="宋体" w:hAnsi="宋体" w:cs="宋体" w:hint="eastAsia"/>
          <w:sz w:val="21"/>
          <w:szCs w:val="21"/>
        </w:rPr>
        <w:t>分；时间计划较契合项目进度、工具配备较齐全、人员分工安排较合理的得</w:t>
      </w:r>
      <w:r w:rsidR="008B329D">
        <w:rPr>
          <w:rFonts w:ascii="宋体" w:hAnsi="宋体" w:cs="宋体"/>
          <w:sz w:val="21"/>
          <w:szCs w:val="21"/>
        </w:rPr>
        <w:t>3</w:t>
      </w:r>
      <w:r>
        <w:rPr>
          <w:rFonts w:ascii="宋体" w:hAnsi="宋体" w:cs="宋体" w:hint="eastAsia"/>
          <w:sz w:val="21"/>
          <w:szCs w:val="21"/>
        </w:rPr>
        <w:t>分；时间计划较差、工具配备较差、人员分工安排较差的得1分；不提供不得分。</w:t>
      </w:r>
    </w:p>
    <w:p w14:paraId="601ABA2E" w14:textId="5BBEFA7F" w:rsidR="00186596" w:rsidRDefault="00186596" w:rsidP="00186596">
      <w:pPr>
        <w:widowControl w:val="0"/>
        <w:wordWrap/>
        <w:adjustRightInd w:val="0"/>
        <w:spacing w:line="360" w:lineRule="auto"/>
        <w:ind w:left="0" w:firstLineChars="200" w:firstLine="420"/>
        <w:rPr>
          <w:rFonts w:ascii="宋体" w:hAnsi="宋体" w:cs="宋体"/>
          <w:sz w:val="21"/>
          <w:szCs w:val="21"/>
        </w:rPr>
      </w:pPr>
      <w:r>
        <w:rPr>
          <w:rFonts w:ascii="宋体" w:hAnsi="宋体" w:cs="宋体" w:hint="eastAsia"/>
          <w:sz w:val="21"/>
          <w:szCs w:val="21"/>
        </w:rPr>
        <w:t>2</w:t>
      </w:r>
      <w:r>
        <w:rPr>
          <w:rFonts w:ascii="宋体" w:hAnsi="宋体" w:cs="宋体"/>
          <w:sz w:val="21"/>
          <w:szCs w:val="21"/>
        </w:rPr>
        <w:t>.</w:t>
      </w:r>
      <w:r>
        <w:rPr>
          <w:rFonts w:ascii="宋体" w:hAnsi="宋体" w:cs="宋体" w:hint="eastAsia"/>
          <w:sz w:val="21"/>
          <w:szCs w:val="21"/>
        </w:rPr>
        <w:t>技术服务方案：</w:t>
      </w:r>
      <w:r w:rsidR="00671580">
        <w:rPr>
          <w:rFonts w:ascii="宋体" w:hAnsi="宋体" w:cs="宋体"/>
          <w:sz w:val="21"/>
          <w:szCs w:val="21"/>
        </w:rPr>
        <w:t>5</w:t>
      </w:r>
      <w:r>
        <w:rPr>
          <w:rFonts w:ascii="宋体" w:hAnsi="宋体" w:cs="宋体" w:hint="eastAsia"/>
          <w:sz w:val="21"/>
          <w:szCs w:val="21"/>
        </w:rPr>
        <w:t>分</w:t>
      </w:r>
    </w:p>
    <w:p w14:paraId="7C65580A" w14:textId="52E60B75" w:rsidR="00186596" w:rsidRDefault="00186596" w:rsidP="00186596">
      <w:pPr>
        <w:widowControl w:val="0"/>
        <w:wordWrap/>
        <w:adjustRightInd w:val="0"/>
        <w:spacing w:line="360" w:lineRule="auto"/>
        <w:ind w:left="0" w:firstLineChars="200" w:firstLine="420"/>
        <w:rPr>
          <w:rFonts w:ascii="宋体" w:hAnsi="宋体" w:cs="宋体"/>
          <w:sz w:val="21"/>
          <w:szCs w:val="21"/>
        </w:rPr>
      </w:pPr>
      <w:r>
        <w:rPr>
          <w:rFonts w:ascii="宋体" w:hAnsi="宋体" w:cs="宋体" w:hint="eastAsia"/>
          <w:sz w:val="21"/>
          <w:szCs w:val="21"/>
        </w:rPr>
        <w:t>针对服务内容及服务方法有详细说明。服务内容和服务方法完全符合采购需求、可实施性强的得</w:t>
      </w:r>
      <w:r w:rsidR="00671580">
        <w:rPr>
          <w:rFonts w:ascii="宋体" w:hAnsi="宋体" w:cs="宋体"/>
          <w:sz w:val="21"/>
          <w:szCs w:val="21"/>
        </w:rPr>
        <w:t>5</w:t>
      </w:r>
      <w:r>
        <w:rPr>
          <w:rFonts w:ascii="宋体" w:hAnsi="宋体" w:cs="宋体" w:hint="eastAsia"/>
          <w:sz w:val="21"/>
          <w:szCs w:val="21"/>
        </w:rPr>
        <w:t>分；服务内容和服务方法较为符合采购需求、可实施性较强的得</w:t>
      </w:r>
      <w:r w:rsidR="00671580">
        <w:rPr>
          <w:rFonts w:ascii="宋体" w:hAnsi="宋体" w:cs="宋体"/>
          <w:sz w:val="21"/>
          <w:szCs w:val="21"/>
        </w:rPr>
        <w:t>3</w:t>
      </w:r>
      <w:r>
        <w:rPr>
          <w:rFonts w:ascii="宋体" w:hAnsi="宋体" w:cs="宋体" w:hint="eastAsia"/>
          <w:sz w:val="21"/>
          <w:szCs w:val="21"/>
        </w:rPr>
        <w:t>分；服务内容和服务方法较差、可实施性差的得1分；不提供不得分。</w:t>
      </w:r>
    </w:p>
    <w:p w14:paraId="56EF75F6" w14:textId="1B0C9828" w:rsidR="00186596" w:rsidRDefault="00186596" w:rsidP="00186596">
      <w:pPr>
        <w:widowControl w:val="0"/>
        <w:wordWrap/>
        <w:adjustRightInd w:val="0"/>
        <w:spacing w:line="360" w:lineRule="auto"/>
        <w:ind w:left="0" w:firstLineChars="200" w:firstLine="420"/>
        <w:rPr>
          <w:rFonts w:ascii="宋体" w:hAnsi="宋体" w:cs="宋体"/>
          <w:sz w:val="21"/>
          <w:szCs w:val="21"/>
        </w:rPr>
      </w:pPr>
      <w:r>
        <w:rPr>
          <w:rFonts w:ascii="宋体" w:hAnsi="宋体" w:cs="宋体" w:hint="eastAsia"/>
          <w:sz w:val="21"/>
          <w:szCs w:val="21"/>
        </w:rPr>
        <w:t>3</w:t>
      </w:r>
      <w:r>
        <w:rPr>
          <w:rFonts w:ascii="宋体" w:hAnsi="宋体" w:cs="宋体"/>
          <w:sz w:val="21"/>
          <w:szCs w:val="21"/>
        </w:rPr>
        <w:t>.</w:t>
      </w:r>
      <w:r>
        <w:rPr>
          <w:rFonts w:ascii="宋体" w:hAnsi="宋体" w:cs="宋体" w:hint="eastAsia"/>
          <w:sz w:val="21"/>
          <w:szCs w:val="21"/>
        </w:rPr>
        <w:t>服务标准及工作流程：</w:t>
      </w:r>
      <w:r w:rsidR="00671580">
        <w:rPr>
          <w:rFonts w:ascii="宋体" w:hAnsi="宋体" w:cs="宋体"/>
          <w:sz w:val="21"/>
          <w:szCs w:val="21"/>
        </w:rPr>
        <w:t>5</w:t>
      </w:r>
      <w:r>
        <w:rPr>
          <w:rFonts w:ascii="宋体" w:hAnsi="宋体" w:cs="宋体" w:hint="eastAsia"/>
          <w:sz w:val="21"/>
          <w:szCs w:val="21"/>
        </w:rPr>
        <w:t>分</w:t>
      </w:r>
    </w:p>
    <w:p w14:paraId="3B8D41CC" w14:textId="5E525A26" w:rsidR="00186596" w:rsidRDefault="00186596" w:rsidP="00186596">
      <w:pPr>
        <w:widowControl w:val="0"/>
        <w:wordWrap/>
        <w:adjustRightInd w:val="0"/>
        <w:spacing w:line="360" w:lineRule="auto"/>
        <w:ind w:left="0" w:firstLineChars="200" w:firstLine="420"/>
        <w:rPr>
          <w:rFonts w:ascii="宋体" w:hAnsi="宋体" w:cs="宋体"/>
          <w:sz w:val="21"/>
          <w:szCs w:val="21"/>
        </w:rPr>
      </w:pPr>
      <w:r>
        <w:rPr>
          <w:rFonts w:ascii="宋体" w:hAnsi="宋体" w:cs="宋体" w:hint="eastAsia"/>
          <w:sz w:val="21"/>
          <w:szCs w:val="21"/>
        </w:rPr>
        <w:t>有规范的服务标准及详细工作流程。服务标准完全符合采购需求、工作流程安排合理的得</w:t>
      </w:r>
      <w:r w:rsidR="00671580">
        <w:rPr>
          <w:rFonts w:ascii="宋体" w:hAnsi="宋体" w:cs="宋体"/>
          <w:sz w:val="21"/>
          <w:szCs w:val="21"/>
        </w:rPr>
        <w:t>5</w:t>
      </w:r>
      <w:r>
        <w:rPr>
          <w:rFonts w:ascii="宋体" w:hAnsi="宋体" w:cs="宋体" w:hint="eastAsia"/>
          <w:sz w:val="21"/>
          <w:szCs w:val="21"/>
        </w:rPr>
        <w:t>分；服务标</w:t>
      </w:r>
      <w:r>
        <w:rPr>
          <w:rFonts w:ascii="宋体" w:hAnsi="宋体" w:cs="宋体" w:hint="eastAsia"/>
          <w:sz w:val="21"/>
          <w:szCs w:val="21"/>
        </w:rPr>
        <w:lastRenderedPageBreak/>
        <w:t>准较为符合采购需求、工作流程安排较合理的得</w:t>
      </w:r>
      <w:r w:rsidR="00671580">
        <w:rPr>
          <w:rFonts w:ascii="宋体" w:hAnsi="宋体" w:cs="宋体"/>
          <w:sz w:val="21"/>
          <w:szCs w:val="21"/>
        </w:rPr>
        <w:t>3</w:t>
      </w:r>
      <w:r>
        <w:rPr>
          <w:rFonts w:ascii="宋体" w:hAnsi="宋体" w:cs="宋体" w:hint="eastAsia"/>
          <w:sz w:val="21"/>
          <w:szCs w:val="21"/>
        </w:rPr>
        <w:t>分；服务标准较差、工作流程安排较差的得1分；不提供不得分。</w:t>
      </w:r>
    </w:p>
    <w:p w14:paraId="35220A5F" w14:textId="4102491F" w:rsidR="00186596" w:rsidRDefault="00186596" w:rsidP="00186596">
      <w:pPr>
        <w:widowControl w:val="0"/>
        <w:wordWrap/>
        <w:adjustRightInd w:val="0"/>
        <w:spacing w:line="360" w:lineRule="auto"/>
        <w:ind w:left="0" w:firstLineChars="200" w:firstLine="420"/>
        <w:rPr>
          <w:rFonts w:ascii="宋体" w:hAnsi="宋体" w:cs="宋体"/>
          <w:sz w:val="21"/>
          <w:szCs w:val="21"/>
        </w:rPr>
      </w:pPr>
      <w:r>
        <w:rPr>
          <w:rFonts w:ascii="宋体" w:hAnsi="宋体" w:cs="宋体" w:hint="eastAsia"/>
          <w:sz w:val="21"/>
          <w:szCs w:val="21"/>
        </w:rPr>
        <w:t>4</w:t>
      </w:r>
      <w:r>
        <w:rPr>
          <w:rFonts w:ascii="宋体" w:hAnsi="宋体" w:cs="宋体"/>
          <w:sz w:val="21"/>
          <w:szCs w:val="21"/>
        </w:rPr>
        <w:t>.</w:t>
      </w:r>
      <w:r>
        <w:rPr>
          <w:rFonts w:ascii="宋体" w:hAnsi="宋体" w:cs="宋体" w:hint="eastAsia"/>
          <w:sz w:val="21"/>
          <w:szCs w:val="21"/>
        </w:rPr>
        <w:t>等级保护测评过程中的风险规避措施：</w:t>
      </w:r>
      <w:r w:rsidR="004D68CA">
        <w:rPr>
          <w:rFonts w:ascii="宋体" w:hAnsi="宋体" w:cs="宋体"/>
          <w:sz w:val="21"/>
          <w:szCs w:val="21"/>
        </w:rPr>
        <w:t>5</w:t>
      </w:r>
      <w:r>
        <w:rPr>
          <w:rFonts w:ascii="宋体" w:hAnsi="宋体" w:cs="宋体" w:hint="eastAsia"/>
          <w:sz w:val="21"/>
          <w:szCs w:val="21"/>
        </w:rPr>
        <w:t>分</w:t>
      </w:r>
    </w:p>
    <w:p w14:paraId="75F4C17D" w14:textId="18594B0F" w:rsidR="00186596" w:rsidRDefault="00186596" w:rsidP="00186596">
      <w:pPr>
        <w:widowControl w:val="0"/>
        <w:wordWrap/>
        <w:adjustRightInd w:val="0"/>
        <w:spacing w:line="360" w:lineRule="auto"/>
        <w:ind w:left="0" w:firstLineChars="200" w:firstLine="420"/>
        <w:rPr>
          <w:rFonts w:ascii="宋体" w:hAnsi="宋体" w:cs="宋体"/>
          <w:sz w:val="21"/>
          <w:szCs w:val="21"/>
        </w:rPr>
      </w:pPr>
      <w:r>
        <w:rPr>
          <w:rFonts w:ascii="宋体" w:hAnsi="宋体" w:cs="宋体" w:hint="eastAsia"/>
          <w:sz w:val="21"/>
          <w:szCs w:val="21"/>
        </w:rPr>
        <w:t>有等级保护测评过程中的风险规避措施。风险规避措施合理、可实施性强的得</w:t>
      </w:r>
      <w:r w:rsidR="004D68CA">
        <w:rPr>
          <w:rFonts w:ascii="宋体" w:hAnsi="宋体" w:cs="宋体"/>
          <w:sz w:val="21"/>
          <w:szCs w:val="21"/>
        </w:rPr>
        <w:t>5</w:t>
      </w:r>
      <w:r>
        <w:rPr>
          <w:rFonts w:ascii="宋体" w:hAnsi="宋体" w:cs="宋体" w:hint="eastAsia"/>
          <w:sz w:val="21"/>
          <w:szCs w:val="21"/>
        </w:rPr>
        <w:t>分；风险规避措施较合理、可实施性较强的得</w:t>
      </w:r>
      <w:r w:rsidR="004D68CA">
        <w:rPr>
          <w:rFonts w:ascii="宋体" w:hAnsi="宋体" w:cs="宋体"/>
          <w:sz w:val="21"/>
          <w:szCs w:val="21"/>
        </w:rPr>
        <w:t>3</w:t>
      </w:r>
      <w:r>
        <w:rPr>
          <w:rFonts w:ascii="宋体" w:hAnsi="宋体" w:cs="宋体" w:hint="eastAsia"/>
          <w:sz w:val="21"/>
          <w:szCs w:val="21"/>
        </w:rPr>
        <w:t>分；风险规避措施较差、可实施性较差的得1分；不提供不得分。</w:t>
      </w:r>
    </w:p>
    <w:p w14:paraId="79C83432" w14:textId="154393F9" w:rsidR="00186596" w:rsidRDefault="00186596" w:rsidP="0075668F">
      <w:pPr>
        <w:widowControl w:val="0"/>
        <w:wordWrap/>
        <w:adjustRightInd w:val="0"/>
        <w:spacing w:line="360" w:lineRule="auto"/>
        <w:ind w:left="0" w:firstLineChars="200" w:firstLine="420"/>
        <w:outlineLvl w:val="1"/>
        <w:rPr>
          <w:rFonts w:ascii="宋体" w:hAnsi="宋体" w:cs="宋体"/>
          <w:sz w:val="21"/>
          <w:szCs w:val="21"/>
        </w:rPr>
      </w:pPr>
      <w:r>
        <w:rPr>
          <w:rFonts w:ascii="宋体" w:hAnsi="宋体" w:cs="宋体"/>
          <w:sz w:val="21"/>
          <w:szCs w:val="21"/>
        </w:rPr>
        <w:t>5.</w:t>
      </w:r>
      <w:r>
        <w:rPr>
          <w:rFonts w:ascii="宋体" w:hAnsi="宋体" w:cs="宋体" w:hint="eastAsia"/>
          <w:sz w:val="21"/>
          <w:szCs w:val="21"/>
        </w:rPr>
        <w:t>项目实施方案：</w:t>
      </w:r>
      <w:r w:rsidR="0075668F">
        <w:rPr>
          <w:rFonts w:ascii="宋体" w:hAnsi="宋体" w:cs="宋体"/>
          <w:sz w:val="21"/>
          <w:szCs w:val="21"/>
        </w:rPr>
        <w:t>5</w:t>
      </w:r>
      <w:r>
        <w:rPr>
          <w:rFonts w:ascii="宋体" w:hAnsi="宋体" w:cs="宋体" w:hint="eastAsia"/>
          <w:sz w:val="21"/>
          <w:szCs w:val="21"/>
        </w:rPr>
        <w:t>分</w:t>
      </w:r>
    </w:p>
    <w:p w14:paraId="10875E19" w14:textId="29087EFD" w:rsidR="00186596" w:rsidRDefault="00186596" w:rsidP="00186596">
      <w:pPr>
        <w:widowControl w:val="0"/>
        <w:wordWrap/>
        <w:adjustRightInd w:val="0"/>
        <w:spacing w:line="360" w:lineRule="auto"/>
        <w:ind w:left="0" w:firstLineChars="200" w:firstLine="420"/>
        <w:rPr>
          <w:rFonts w:ascii="宋体" w:hAnsi="宋体" w:cs="宋体"/>
          <w:sz w:val="21"/>
          <w:szCs w:val="21"/>
        </w:rPr>
      </w:pPr>
      <w:r>
        <w:rPr>
          <w:rFonts w:ascii="宋体" w:hAnsi="宋体" w:cs="宋体" w:hint="eastAsia"/>
          <w:sz w:val="21"/>
          <w:szCs w:val="21"/>
        </w:rPr>
        <w:t>针对本项目实施方案设计的完整性、合理性进行比较（包括完整的前期调研方案、实施计划、风险管理、质量控制等）：实施方案内容详细、完善可行、科学合理、考虑周密、流程规范，得</w:t>
      </w:r>
      <w:r w:rsidR="0075668F">
        <w:rPr>
          <w:rFonts w:ascii="宋体" w:hAnsi="宋体" w:cs="宋体"/>
          <w:sz w:val="21"/>
          <w:szCs w:val="21"/>
        </w:rPr>
        <w:t>5</w:t>
      </w:r>
      <w:r>
        <w:rPr>
          <w:rFonts w:ascii="宋体" w:hAnsi="宋体" w:cs="宋体" w:hint="eastAsia"/>
          <w:sz w:val="21"/>
          <w:szCs w:val="21"/>
        </w:rPr>
        <w:t>分；实施方案内容比较详细、可行性较好、合理性较好、流程较规范，得</w:t>
      </w:r>
      <w:r w:rsidR="0075668F">
        <w:rPr>
          <w:rFonts w:ascii="宋体" w:hAnsi="宋体" w:cs="宋体"/>
          <w:sz w:val="21"/>
          <w:szCs w:val="21"/>
        </w:rPr>
        <w:t>3</w:t>
      </w:r>
      <w:r>
        <w:rPr>
          <w:rFonts w:ascii="宋体" w:hAnsi="宋体" w:cs="宋体" w:hint="eastAsia"/>
          <w:sz w:val="21"/>
          <w:szCs w:val="21"/>
        </w:rPr>
        <w:t>分；可行性一般、合理性一般，得1分；不提供不得分。</w:t>
      </w:r>
    </w:p>
    <w:p w14:paraId="3431A958" w14:textId="100DD1BF" w:rsidR="00186596" w:rsidRDefault="0075668F" w:rsidP="00186596">
      <w:pPr>
        <w:widowControl w:val="0"/>
        <w:wordWrap/>
        <w:adjustRightInd w:val="0"/>
        <w:spacing w:line="360" w:lineRule="auto"/>
        <w:ind w:left="0" w:firstLineChars="100" w:firstLine="210"/>
        <w:rPr>
          <w:rFonts w:ascii="宋体" w:hAnsi="宋体" w:cs="宋体"/>
          <w:sz w:val="21"/>
          <w:szCs w:val="21"/>
        </w:rPr>
      </w:pPr>
      <w:r>
        <w:rPr>
          <w:rFonts w:ascii="宋体" w:hAnsi="宋体" w:cs="宋体" w:hint="eastAsia"/>
          <w:sz w:val="21"/>
          <w:szCs w:val="21"/>
        </w:rPr>
        <w:t>6.</w:t>
      </w:r>
      <w:r w:rsidR="00186596">
        <w:rPr>
          <w:rFonts w:ascii="宋体" w:hAnsi="宋体" w:cs="宋体" w:hint="eastAsia"/>
          <w:sz w:val="21"/>
          <w:szCs w:val="21"/>
        </w:rPr>
        <w:t>售后维护服务方案：</w:t>
      </w:r>
      <w:r>
        <w:rPr>
          <w:rFonts w:ascii="宋体" w:hAnsi="宋体" w:cs="宋体"/>
          <w:sz w:val="21"/>
          <w:szCs w:val="21"/>
        </w:rPr>
        <w:t>10</w:t>
      </w:r>
      <w:r w:rsidR="00186596">
        <w:rPr>
          <w:rFonts w:ascii="宋体" w:hAnsi="宋体" w:cs="宋体" w:hint="eastAsia"/>
          <w:sz w:val="21"/>
          <w:szCs w:val="21"/>
        </w:rPr>
        <w:t>分</w:t>
      </w:r>
    </w:p>
    <w:p w14:paraId="703A5AA6" w14:textId="47E1AD6A" w:rsidR="00186596" w:rsidRDefault="00186596" w:rsidP="00186596">
      <w:pPr>
        <w:widowControl w:val="0"/>
        <w:wordWrap/>
        <w:adjustRightInd w:val="0"/>
        <w:spacing w:line="360" w:lineRule="auto"/>
        <w:ind w:left="0" w:firstLineChars="200" w:firstLine="420"/>
        <w:rPr>
          <w:rFonts w:ascii="宋体" w:hAnsi="宋体" w:cs="宋体"/>
          <w:sz w:val="21"/>
          <w:szCs w:val="21"/>
        </w:rPr>
      </w:pPr>
      <w:r>
        <w:rPr>
          <w:rFonts w:ascii="宋体" w:hAnsi="宋体" w:cs="宋体" w:hint="eastAsia"/>
          <w:sz w:val="21"/>
          <w:szCs w:val="21"/>
        </w:rPr>
        <w:t>针对本项目售后服务方案比较（包括售后人员配备、故障响应时间和方式、应急保障、培训等）：内容详细全面、科学合理、流程规范、操作性强，得</w:t>
      </w:r>
      <w:r w:rsidR="0075668F">
        <w:rPr>
          <w:rFonts w:ascii="宋体" w:hAnsi="宋体" w:cs="宋体"/>
          <w:sz w:val="21"/>
          <w:szCs w:val="21"/>
        </w:rPr>
        <w:t>10</w:t>
      </w:r>
      <w:r>
        <w:rPr>
          <w:rFonts w:ascii="宋体" w:hAnsi="宋体" w:cs="宋体" w:hint="eastAsia"/>
          <w:sz w:val="21"/>
          <w:szCs w:val="21"/>
        </w:rPr>
        <w:t>分；内容比较详细全面、较科学合理、流程较规范、操作性较强，得</w:t>
      </w:r>
      <w:r w:rsidR="0075668F">
        <w:rPr>
          <w:rFonts w:ascii="宋体" w:hAnsi="宋体" w:cs="宋体"/>
          <w:sz w:val="21"/>
          <w:szCs w:val="21"/>
        </w:rPr>
        <w:t>5</w:t>
      </w:r>
      <w:r>
        <w:rPr>
          <w:rFonts w:ascii="宋体" w:hAnsi="宋体" w:cs="宋体" w:hint="eastAsia"/>
          <w:sz w:val="21"/>
          <w:szCs w:val="21"/>
        </w:rPr>
        <w:t>分；内容比较简单、有一定操作性，得1分；不提供不得分。</w:t>
      </w:r>
    </w:p>
    <w:p w14:paraId="09B48FAA" w14:textId="2CA76C4C" w:rsidR="00186596" w:rsidRPr="00640D4C" w:rsidRDefault="00186596" w:rsidP="00186596">
      <w:pPr>
        <w:wordWrap/>
        <w:spacing w:line="360" w:lineRule="auto"/>
        <w:ind w:left="0"/>
        <w:rPr>
          <w:rFonts w:ascii="宋体" w:hAnsi="宋体"/>
          <w:b/>
          <w:color w:val="FF0000"/>
          <w:sz w:val="21"/>
          <w:szCs w:val="21"/>
        </w:rPr>
      </w:pPr>
      <w:r w:rsidRPr="00640D4C">
        <w:rPr>
          <w:rFonts w:ascii="宋体" w:hAnsi="宋体" w:hint="eastAsia"/>
          <w:b/>
          <w:color w:val="FF0000"/>
          <w:sz w:val="21"/>
          <w:szCs w:val="21"/>
        </w:rPr>
        <w:t>（</w:t>
      </w:r>
      <w:r w:rsidR="00FA53F4">
        <w:rPr>
          <w:rFonts w:ascii="宋体" w:hAnsi="宋体" w:hint="eastAsia"/>
          <w:b/>
          <w:color w:val="FF0000"/>
          <w:sz w:val="21"/>
          <w:szCs w:val="21"/>
        </w:rPr>
        <w:t>三</w:t>
      </w:r>
      <w:r w:rsidRPr="00640D4C">
        <w:rPr>
          <w:rFonts w:ascii="宋体" w:hAnsi="宋体" w:hint="eastAsia"/>
          <w:b/>
          <w:color w:val="FF0000"/>
          <w:sz w:val="21"/>
          <w:szCs w:val="21"/>
        </w:rPr>
        <w:t>）项目人员配置：</w:t>
      </w:r>
      <w:r w:rsidR="00AB3AEB" w:rsidRPr="00640D4C">
        <w:rPr>
          <w:rFonts w:ascii="宋体" w:hAnsi="宋体"/>
          <w:b/>
          <w:color w:val="FF0000"/>
          <w:sz w:val="21"/>
          <w:szCs w:val="21"/>
        </w:rPr>
        <w:t>10</w:t>
      </w:r>
      <w:r w:rsidRPr="00640D4C">
        <w:rPr>
          <w:rFonts w:ascii="宋体" w:hAnsi="宋体" w:hint="eastAsia"/>
          <w:b/>
          <w:color w:val="FF0000"/>
          <w:sz w:val="21"/>
          <w:szCs w:val="21"/>
        </w:rPr>
        <w:t>分</w:t>
      </w:r>
    </w:p>
    <w:p w14:paraId="6EF81BE3" w14:textId="168B2574" w:rsidR="00186596" w:rsidRDefault="00186596" w:rsidP="00186596">
      <w:pPr>
        <w:wordWrap/>
        <w:spacing w:line="360" w:lineRule="auto"/>
        <w:ind w:left="0" w:firstLineChars="200" w:firstLine="420"/>
        <w:rPr>
          <w:rFonts w:ascii="宋体" w:hAnsi="宋体"/>
          <w:sz w:val="21"/>
          <w:szCs w:val="21"/>
        </w:rPr>
      </w:pPr>
      <w:r>
        <w:rPr>
          <w:rFonts w:ascii="宋体" w:hAnsi="宋体"/>
          <w:sz w:val="21"/>
          <w:szCs w:val="21"/>
        </w:rPr>
        <w:t>1.项目</w:t>
      </w:r>
      <w:r>
        <w:rPr>
          <w:rFonts w:ascii="宋体" w:hAnsi="宋体" w:hint="eastAsia"/>
          <w:sz w:val="21"/>
          <w:szCs w:val="21"/>
        </w:rPr>
        <w:t>经理：</w:t>
      </w:r>
      <w:r w:rsidR="00AB3AEB">
        <w:rPr>
          <w:rFonts w:ascii="宋体" w:hAnsi="宋体"/>
          <w:sz w:val="21"/>
          <w:szCs w:val="21"/>
        </w:rPr>
        <w:t>5</w:t>
      </w:r>
      <w:r>
        <w:rPr>
          <w:rFonts w:ascii="宋体" w:hAnsi="宋体" w:hint="eastAsia"/>
          <w:sz w:val="21"/>
          <w:szCs w:val="21"/>
        </w:rPr>
        <w:t>分</w:t>
      </w:r>
    </w:p>
    <w:p w14:paraId="3F52B6F8" w14:textId="35CC7CBC" w:rsidR="00186596" w:rsidRDefault="00186596" w:rsidP="00186596">
      <w:pPr>
        <w:wordWrap/>
        <w:spacing w:line="360" w:lineRule="auto"/>
        <w:ind w:left="0" w:firstLineChars="200" w:firstLine="420"/>
        <w:rPr>
          <w:rFonts w:ascii="宋体" w:hAnsi="宋体"/>
          <w:sz w:val="21"/>
          <w:szCs w:val="21"/>
        </w:rPr>
      </w:pPr>
      <w:r>
        <w:rPr>
          <w:rFonts w:ascii="宋体" w:hAnsi="宋体" w:hint="eastAsia"/>
          <w:sz w:val="21"/>
          <w:szCs w:val="21"/>
        </w:rPr>
        <w:t>具有</w:t>
      </w:r>
      <w:r>
        <w:rPr>
          <w:rFonts w:ascii="宋体" w:hAnsi="宋体" w:cs="宋体" w:hint="eastAsia"/>
          <w:sz w:val="21"/>
          <w:szCs w:val="21"/>
        </w:rPr>
        <w:t>IT服务项目经理资格证书（ITSS）</w:t>
      </w:r>
      <w:r>
        <w:rPr>
          <w:rFonts w:ascii="宋体" w:hAnsi="宋体" w:hint="eastAsia"/>
          <w:sz w:val="21"/>
          <w:szCs w:val="21"/>
        </w:rPr>
        <w:t>得</w:t>
      </w:r>
      <w:r w:rsidR="00AB3AEB">
        <w:rPr>
          <w:rFonts w:ascii="宋体" w:hAnsi="宋体"/>
          <w:sz w:val="21"/>
          <w:szCs w:val="21"/>
        </w:rPr>
        <w:t>5</w:t>
      </w:r>
      <w:r>
        <w:rPr>
          <w:rFonts w:ascii="宋体" w:hAnsi="宋体" w:hint="eastAsia"/>
          <w:sz w:val="21"/>
          <w:szCs w:val="21"/>
        </w:rPr>
        <w:t>分。</w:t>
      </w:r>
    </w:p>
    <w:p w14:paraId="7C5E9102" w14:textId="1EA3FA04" w:rsidR="00186596" w:rsidRPr="004C2811" w:rsidRDefault="00186596" w:rsidP="00186596">
      <w:pPr>
        <w:wordWrap/>
        <w:spacing w:line="360" w:lineRule="auto"/>
        <w:ind w:left="0" w:firstLineChars="200" w:firstLine="420"/>
        <w:rPr>
          <w:rFonts w:ascii="宋体" w:hAnsi="宋体"/>
          <w:sz w:val="21"/>
          <w:szCs w:val="21"/>
        </w:rPr>
      </w:pPr>
      <w:r w:rsidRPr="004C2811">
        <w:rPr>
          <w:rFonts w:ascii="宋体" w:hAnsi="宋体"/>
          <w:sz w:val="21"/>
          <w:szCs w:val="21"/>
        </w:rPr>
        <w:t>2.</w:t>
      </w:r>
      <w:r w:rsidRPr="004C2811">
        <w:rPr>
          <w:rFonts w:ascii="宋体" w:hAnsi="宋体" w:cs="宋体" w:hint="eastAsia"/>
          <w:sz w:val="21"/>
          <w:szCs w:val="21"/>
        </w:rPr>
        <w:t>项目组成员（</w:t>
      </w:r>
      <w:proofErr w:type="gramStart"/>
      <w:r w:rsidRPr="004C2811">
        <w:rPr>
          <w:rFonts w:ascii="宋体" w:hAnsi="宋体" w:cs="宋体" w:hint="eastAsia"/>
          <w:sz w:val="21"/>
          <w:szCs w:val="21"/>
        </w:rPr>
        <w:t>除项目</w:t>
      </w:r>
      <w:proofErr w:type="gramEnd"/>
      <w:r w:rsidRPr="004C2811">
        <w:rPr>
          <w:rFonts w:ascii="宋体" w:hAnsi="宋体" w:cs="宋体" w:hint="eastAsia"/>
          <w:sz w:val="21"/>
          <w:szCs w:val="21"/>
        </w:rPr>
        <w:t>经理）</w:t>
      </w:r>
      <w:r w:rsidRPr="004C2811">
        <w:rPr>
          <w:rFonts w:ascii="宋体" w:hAnsi="宋体" w:hint="eastAsia"/>
          <w:sz w:val="21"/>
          <w:szCs w:val="21"/>
        </w:rPr>
        <w:t>：</w:t>
      </w:r>
      <w:r w:rsidR="00AB3AEB">
        <w:rPr>
          <w:rFonts w:ascii="宋体" w:hAnsi="宋体"/>
          <w:sz w:val="21"/>
          <w:szCs w:val="21"/>
        </w:rPr>
        <w:t>5</w:t>
      </w:r>
      <w:r w:rsidRPr="004C2811">
        <w:rPr>
          <w:rFonts w:ascii="宋体" w:hAnsi="宋体" w:hint="eastAsia"/>
          <w:sz w:val="21"/>
          <w:szCs w:val="21"/>
        </w:rPr>
        <w:t>分</w:t>
      </w:r>
    </w:p>
    <w:p w14:paraId="52EDF848" w14:textId="232F5B02" w:rsidR="00186596" w:rsidRPr="004C2811" w:rsidRDefault="00186596" w:rsidP="00186596">
      <w:pPr>
        <w:wordWrap/>
        <w:spacing w:line="360" w:lineRule="auto"/>
        <w:ind w:left="0" w:firstLineChars="100" w:firstLine="210"/>
        <w:rPr>
          <w:rFonts w:ascii="宋体" w:hAnsi="宋体"/>
          <w:sz w:val="21"/>
          <w:szCs w:val="21"/>
        </w:rPr>
      </w:pPr>
      <w:r w:rsidRPr="004C2811">
        <w:rPr>
          <w:rFonts w:ascii="宋体" w:hAnsi="宋体" w:hint="eastAsia"/>
          <w:sz w:val="21"/>
          <w:szCs w:val="21"/>
        </w:rPr>
        <w:t>（1）有一人具有</w:t>
      </w:r>
      <w:r w:rsidRPr="004C2811">
        <w:rPr>
          <w:rFonts w:ascii="宋体" w:hAnsi="宋体" w:cs="宋体" w:hint="eastAsia"/>
          <w:sz w:val="21"/>
          <w:szCs w:val="21"/>
        </w:rPr>
        <w:t>国家重要信息系统保护人员证书（CIIPT证书）的</w:t>
      </w:r>
      <w:r w:rsidRPr="004C2811">
        <w:rPr>
          <w:rFonts w:ascii="宋体" w:hAnsi="宋体" w:hint="eastAsia"/>
          <w:sz w:val="21"/>
          <w:szCs w:val="21"/>
        </w:rPr>
        <w:t>得</w:t>
      </w:r>
      <w:r w:rsidRPr="004C2811">
        <w:rPr>
          <w:rFonts w:ascii="宋体" w:hAnsi="宋体"/>
          <w:sz w:val="21"/>
          <w:szCs w:val="21"/>
        </w:rPr>
        <w:t>3分。</w:t>
      </w:r>
    </w:p>
    <w:p w14:paraId="0E5AB40E" w14:textId="66A0CDF8" w:rsidR="00186596" w:rsidRPr="004C2811" w:rsidRDefault="00186596" w:rsidP="00186596">
      <w:pPr>
        <w:wordWrap/>
        <w:spacing w:line="360" w:lineRule="auto"/>
        <w:ind w:left="0" w:firstLineChars="100" w:firstLine="210"/>
        <w:rPr>
          <w:rFonts w:ascii="宋体" w:hAnsi="宋体"/>
          <w:sz w:val="21"/>
          <w:szCs w:val="21"/>
        </w:rPr>
      </w:pPr>
      <w:r w:rsidRPr="004C2811">
        <w:rPr>
          <w:rFonts w:ascii="宋体" w:hAnsi="宋体" w:hint="eastAsia"/>
          <w:sz w:val="21"/>
          <w:szCs w:val="21"/>
        </w:rPr>
        <w:t>（</w:t>
      </w:r>
      <w:r w:rsidRPr="004C2811">
        <w:rPr>
          <w:rFonts w:ascii="宋体" w:hAnsi="宋体"/>
          <w:sz w:val="21"/>
          <w:szCs w:val="21"/>
        </w:rPr>
        <w:t>2</w:t>
      </w:r>
      <w:r w:rsidRPr="004C2811">
        <w:rPr>
          <w:rFonts w:ascii="宋体" w:hAnsi="宋体" w:hint="eastAsia"/>
          <w:sz w:val="21"/>
          <w:szCs w:val="21"/>
        </w:rPr>
        <w:t>）有一人具有</w:t>
      </w:r>
      <w:r w:rsidRPr="004C2811">
        <w:rPr>
          <w:rFonts w:ascii="宋体" w:hAnsi="宋体" w:cs="宋体" w:hint="eastAsia"/>
          <w:sz w:val="21"/>
          <w:szCs w:val="21"/>
        </w:rPr>
        <w:t>注册信息安全专业人员（CISP）的</w:t>
      </w:r>
      <w:r w:rsidRPr="004C2811">
        <w:rPr>
          <w:rFonts w:ascii="宋体" w:hAnsi="宋体" w:hint="eastAsia"/>
          <w:sz w:val="21"/>
          <w:szCs w:val="21"/>
        </w:rPr>
        <w:t>得</w:t>
      </w:r>
      <w:r w:rsidR="00AB3AEB">
        <w:rPr>
          <w:rFonts w:ascii="宋体" w:hAnsi="宋体"/>
          <w:sz w:val="21"/>
          <w:szCs w:val="21"/>
        </w:rPr>
        <w:t>2</w:t>
      </w:r>
      <w:r w:rsidRPr="004C2811">
        <w:rPr>
          <w:rFonts w:ascii="宋体" w:hAnsi="宋体"/>
          <w:sz w:val="21"/>
          <w:szCs w:val="21"/>
        </w:rPr>
        <w:t>分。</w:t>
      </w:r>
    </w:p>
    <w:p w14:paraId="2CF692AE" w14:textId="49526C26" w:rsidR="00186596" w:rsidRPr="00640D4C" w:rsidRDefault="00186596" w:rsidP="00186596">
      <w:pPr>
        <w:wordWrap/>
        <w:spacing w:line="360" w:lineRule="auto"/>
        <w:ind w:left="0"/>
        <w:rPr>
          <w:rFonts w:ascii="宋体" w:hAnsi="宋体"/>
          <w:b/>
          <w:color w:val="FF0000"/>
          <w:sz w:val="21"/>
          <w:szCs w:val="21"/>
        </w:rPr>
      </w:pPr>
      <w:r w:rsidRPr="00640D4C">
        <w:rPr>
          <w:rFonts w:ascii="宋体" w:hAnsi="宋体" w:hint="eastAsia"/>
          <w:b/>
          <w:color w:val="FF0000"/>
          <w:sz w:val="21"/>
          <w:szCs w:val="21"/>
        </w:rPr>
        <w:t>（</w:t>
      </w:r>
      <w:r w:rsidR="00FA53F4">
        <w:rPr>
          <w:rFonts w:ascii="宋体" w:hAnsi="宋体" w:hint="eastAsia"/>
          <w:b/>
          <w:color w:val="FF0000"/>
          <w:sz w:val="21"/>
          <w:szCs w:val="21"/>
        </w:rPr>
        <w:t>四</w:t>
      </w:r>
      <w:r w:rsidRPr="00640D4C">
        <w:rPr>
          <w:rFonts w:ascii="宋体" w:hAnsi="宋体" w:hint="eastAsia"/>
          <w:b/>
          <w:color w:val="FF0000"/>
          <w:sz w:val="21"/>
          <w:szCs w:val="21"/>
        </w:rPr>
        <w:t>）单位综合实力：</w:t>
      </w:r>
      <w:r w:rsidR="00640D4C" w:rsidRPr="00640D4C">
        <w:rPr>
          <w:rFonts w:ascii="宋体" w:hAnsi="宋体"/>
          <w:b/>
          <w:color w:val="FF0000"/>
          <w:sz w:val="21"/>
          <w:szCs w:val="21"/>
        </w:rPr>
        <w:t>15</w:t>
      </w:r>
      <w:r w:rsidRPr="00640D4C">
        <w:rPr>
          <w:rFonts w:ascii="宋体" w:hAnsi="宋体" w:hint="eastAsia"/>
          <w:b/>
          <w:color w:val="FF0000"/>
          <w:sz w:val="21"/>
          <w:szCs w:val="21"/>
        </w:rPr>
        <w:t>分</w:t>
      </w:r>
    </w:p>
    <w:p w14:paraId="0A65EA17" w14:textId="152798E3" w:rsidR="00186596" w:rsidRPr="004C2811" w:rsidRDefault="00186596" w:rsidP="00186596">
      <w:pPr>
        <w:widowControl w:val="0"/>
        <w:wordWrap/>
        <w:adjustRightInd w:val="0"/>
        <w:snapToGrid w:val="0"/>
        <w:spacing w:line="360" w:lineRule="auto"/>
        <w:ind w:left="0" w:firstLineChars="100" w:firstLine="210"/>
        <w:jc w:val="left"/>
        <w:rPr>
          <w:rFonts w:ascii="宋体" w:hAnsi="宋体" w:cs="宋体"/>
          <w:sz w:val="21"/>
          <w:szCs w:val="21"/>
        </w:rPr>
      </w:pPr>
      <w:r w:rsidRPr="004C2811">
        <w:rPr>
          <w:rFonts w:ascii="宋体" w:hAnsi="宋体" w:cs="宋体"/>
          <w:sz w:val="21"/>
          <w:szCs w:val="21"/>
        </w:rPr>
        <w:t>1.</w:t>
      </w:r>
      <w:r w:rsidRPr="004C2811">
        <w:rPr>
          <w:rFonts w:ascii="宋体" w:hAnsi="宋体" w:cs="宋体" w:hint="eastAsia"/>
          <w:sz w:val="21"/>
          <w:szCs w:val="21"/>
        </w:rPr>
        <w:t>响应</w:t>
      </w:r>
      <w:r w:rsidRPr="004C2811">
        <w:rPr>
          <w:rFonts w:ascii="宋体" w:hAnsi="宋体" w:cs="宋体"/>
          <w:sz w:val="21"/>
          <w:szCs w:val="21"/>
        </w:rPr>
        <w:t>单位具备有效期内的质量管理体系认证证书、</w:t>
      </w:r>
      <w:r w:rsidRPr="004C2811">
        <w:rPr>
          <w:rFonts w:ascii="宋体" w:hAnsi="宋体" w:cs="宋体" w:hint="eastAsia"/>
          <w:sz w:val="21"/>
          <w:szCs w:val="21"/>
        </w:rPr>
        <w:t>信息</w:t>
      </w:r>
      <w:r w:rsidRPr="004C2811">
        <w:rPr>
          <w:rFonts w:ascii="宋体" w:hAnsi="宋体" w:hint="eastAsia"/>
          <w:bCs/>
          <w:sz w:val="21"/>
          <w:szCs w:val="21"/>
        </w:rPr>
        <w:t>安全管理体系认证证书</w:t>
      </w:r>
      <w:r w:rsidRPr="004C2811">
        <w:rPr>
          <w:rFonts w:ascii="宋体" w:hAnsi="宋体" w:cs="宋体"/>
          <w:sz w:val="21"/>
          <w:szCs w:val="21"/>
        </w:rPr>
        <w:t>每提供一个得</w:t>
      </w:r>
      <w:r w:rsidR="00640D4C">
        <w:rPr>
          <w:rFonts w:ascii="宋体" w:hAnsi="宋体" w:cs="宋体"/>
          <w:sz w:val="21"/>
          <w:szCs w:val="21"/>
        </w:rPr>
        <w:t>5</w:t>
      </w:r>
      <w:r w:rsidRPr="004C2811">
        <w:rPr>
          <w:rFonts w:ascii="宋体" w:hAnsi="宋体" w:cs="宋体"/>
          <w:sz w:val="21"/>
          <w:szCs w:val="21"/>
        </w:rPr>
        <w:t>分，最高得</w:t>
      </w:r>
      <w:r w:rsidR="00640D4C">
        <w:rPr>
          <w:rFonts w:ascii="宋体" w:hAnsi="宋体" w:cs="宋体"/>
          <w:sz w:val="21"/>
          <w:szCs w:val="21"/>
        </w:rPr>
        <w:t>10</w:t>
      </w:r>
      <w:r w:rsidRPr="004C2811">
        <w:rPr>
          <w:rFonts w:ascii="宋体" w:hAnsi="宋体" w:cs="宋体"/>
          <w:sz w:val="21"/>
          <w:szCs w:val="21"/>
        </w:rPr>
        <w:t>分。</w:t>
      </w:r>
    </w:p>
    <w:p w14:paraId="02D235C6" w14:textId="77777777" w:rsidR="00186596" w:rsidRPr="004C2811" w:rsidRDefault="00186596" w:rsidP="00186596">
      <w:pPr>
        <w:widowControl w:val="0"/>
        <w:wordWrap/>
        <w:adjustRightInd w:val="0"/>
        <w:snapToGrid w:val="0"/>
        <w:spacing w:line="360" w:lineRule="auto"/>
        <w:ind w:left="0" w:firstLineChars="200" w:firstLine="422"/>
        <w:jc w:val="left"/>
        <w:rPr>
          <w:rFonts w:ascii="宋体" w:hAnsi="宋体" w:cs="宋体"/>
          <w:b/>
          <w:sz w:val="21"/>
          <w:szCs w:val="21"/>
        </w:rPr>
      </w:pPr>
      <w:r w:rsidRPr="004C2811">
        <w:rPr>
          <w:rFonts w:ascii="宋体" w:hAnsi="宋体" w:cs="宋体" w:hint="eastAsia"/>
          <w:b/>
          <w:sz w:val="21"/>
          <w:szCs w:val="21"/>
        </w:rPr>
        <w:t>（注：响应</w:t>
      </w:r>
      <w:r w:rsidRPr="004C2811">
        <w:rPr>
          <w:rFonts w:ascii="宋体" w:hAnsi="宋体" w:cs="宋体"/>
          <w:b/>
          <w:sz w:val="21"/>
          <w:szCs w:val="21"/>
        </w:rPr>
        <w:t>文件中提供上述</w:t>
      </w:r>
      <w:r w:rsidRPr="004C2811">
        <w:rPr>
          <w:rFonts w:ascii="宋体" w:hAnsi="宋体" w:cs="宋体" w:hint="eastAsia"/>
          <w:b/>
          <w:sz w:val="21"/>
          <w:szCs w:val="21"/>
        </w:rPr>
        <w:t>证书的</w:t>
      </w:r>
      <w:r w:rsidRPr="004C2811">
        <w:rPr>
          <w:rFonts w:ascii="宋体" w:hAnsi="宋体" w:cs="宋体"/>
          <w:b/>
          <w:sz w:val="21"/>
          <w:szCs w:val="21"/>
        </w:rPr>
        <w:t>复印件</w:t>
      </w:r>
      <w:r w:rsidRPr="004C2811">
        <w:rPr>
          <w:rFonts w:ascii="宋体" w:hAnsi="宋体" w:cs="宋体" w:hint="eastAsia"/>
          <w:b/>
          <w:sz w:val="21"/>
          <w:szCs w:val="21"/>
        </w:rPr>
        <w:t>或网上发文完整截图，不提供相关证明不得分。）</w:t>
      </w:r>
    </w:p>
    <w:p w14:paraId="55658FFF" w14:textId="2B764D25" w:rsidR="00186596" w:rsidRDefault="00186596" w:rsidP="00186596">
      <w:pPr>
        <w:wordWrap/>
        <w:spacing w:line="360" w:lineRule="auto"/>
        <w:ind w:left="0" w:firstLineChars="100" w:firstLine="210"/>
        <w:rPr>
          <w:rFonts w:ascii="宋体" w:hAnsi="宋体" w:cs="宋体"/>
          <w:sz w:val="21"/>
          <w:szCs w:val="21"/>
        </w:rPr>
      </w:pPr>
      <w:r>
        <w:rPr>
          <w:rFonts w:ascii="宋体" w:hAnsi="宋体"/>
          <w:sz w:val="21"/>
          <w:szCs w:val="21"/>
        </w:rPr>
        <w:t>2.</w:t>
      </w:r>
      <w:r>
        <w:rPr>
          <w:rFonts w:ascii="宋体" w:hAnsi="宋体" w:cs="宋体" w:hint="eastAsia"/>
          <w:sz w:val="21"/>
          <w:szCs w:val="21"/>
        </w:rPr>
        <w:t>响应单位具有中国合格评定国家认可委员会检验机构认可证书（CNAS）的得</w:t>
      </w:r>
      <w:r w:rsidR="00640D4C">
        <w:rPr>
          <w:rFonts w:ascii="宋体" w:hAnsi="宋体" w:cs="宋体"/>
          <w:sz w:val="21"/>
          <w:szCs w:val="21"/>
        </w:rPr>
        <w:t>5</w:t>
      </w:r>
      <w:r>
        <w:rPr>
          <w:rFonts w:ascii="宋体" w:hAnsi="宋体" w:cs="宋体" w:hint="eastAsia"/>
          <w:sz w:val="21"/>
          <w:szCs w:val="21"/>
        </w:rPr>
        <w:t>分。</w:t>
      </w:r>
    </w:p>
    <w:p w14:paraId="345203C7" w14:textId="77777777" w:rsidR="00186596" w:rsidRDefault="00186596" w:rsidP="00186596">
      <w:pPr>
        <w:wordWrap/>
        <w:spacing w:line="360" w:lineRule="auto"/>
        <w:ind w:left="0" w:firstLineChars="100" w:firstLine="211"/>
        <w:rPr>
          <w:rFonts w:ascii="宋体" w:hAnsi="宋体" w:cs="宋体"/>
          <w:b/>
          <w:kern w:val="2"/>
          <w:sz w:val="21"/>
          <w:szCs w:val="21"/>
        </w:rPr>
      </w:pPr>
      <w:r>
        <w:rPr>
          <w:rFonts w:ascii="宋体" w:hAnsi="宋体" w:cs="宋体" w:hint="eastAsia"/>
          <w:b/>
          <w:kern w:val="2"/>
          <w:sz w:val="21"/>
          <w:szCs w:val="21"/>
        </w:rPr>
        <w:t>（注：响应</w:t>
      </w:r>
      <w:r>
        <w:rPr>
          <w:rFonts w:ascii="宋体" w:hAnsi="宋体" w:cs="宋体" w:hint="eastAsia"/>
          <w:b/>
          <w:sz w:val="21"/>
          <w:szCs w:val="21"/>
        </w:rPr>
        <w:t>文件中提供上述证书的复印件或证明文件复印件，不提供相关证明不得分。</w:t>
      </w:r>
      <w:r>
        <w:rPr>
          <w:rFonts w:ascii="宋体" w:hAnsi="宋体" w:cs="宋体" w:hint="eastAsia"/>
          <w:b/>
          <w:kern w:val="2"/>
          <w:sz w:val="21"/>
          <w:szCs w:val="21"/>
        </w:rPr>
        <w:t>）</w:t>
      </w:r>
    </w:p>
    <w:p w14:paraId="4967C77A" w14:textId="3138F3A4" w:rsidR="00186596" w:rsidRPr="00640D4C" w:rsidRDefault="00186596" w:rsidP="00186596">
      <w:pPr>
        <w:wordWrap/>
        <w:spacing w:line="360" w:lineRule="auto"/>
        <w:ind w:left="0"/>
        <w:rPr>
          <w:rFonts w:ascii="宋体" w:hAnsi="宋体"/>
          <w:b/>
          <w:color w:val="FF0000"/>
          <w:sz w:val="21"/>
          <w:szCs w:val="21"/>
        </w:rPr>
      </w:pPr>
      <w:r w:rsidRPr="00640D4C">
        <w:rPr>
          <w:rFonts w:ascii="宋体" w:hAnsi="宋体" w:hint="eastAsia"/>
          <w:b/>
          <w:color w:val="FF0000"/>
          <w:sz w:val="21"/>
          <w:szCs w:val="21"/>
        </w:rPr>
        <w:t>（</w:t>
      </w:r>
      <w:r w:rsidR="00FA53F4">
        <w:rPr>
          <w:rFonts w:ascii="宋体" w:hAnsi="宋体" w:hint="eastAsia"/>
          <w:b/>
          <w:color w:val="FF0000"/>
          <w:sz w:val="21"/>
          <w:szCs w:val="21"/>
        </w:rPr>
        <w:t>五</w:t>
      </w:r>
      <w:r w:rsidRPr="00640D4C">
        <w:rPr>
          <w:rFonts w:ascii="宋体" w:hAnsi="宋体" w:hint="eastAsia"/>
          <w:b/>
          <w:color w:val="FF0000"/>
          <w:sz w:val="21"/>
          <w:szCs w:val="21"/>
        </w:rPr>
        <w:t>）类似业绩：</w:t>
      </w:r>
      <w:r w:rsidR="00BD1DE8">
        <w:rPr>
          <w:rFonts w:ascii="宋体" w:hAnsi="宋体"/>
          <w:b/>
          <w:color w:val="FF0000"/>
          <w:sz w:val="21"/>
          <w:szCs w:val="21"/>
        </w:rPr>
        <w:t>20</w:t>
      </w:r>
      <w:r w:rsidRPr="00640D4C">
        <w:rPr>
          <w:rFonts w:ascii="宋体" w:hAnsi="宋体" w:hint="eastAsia"/>
          <w:b/>
          <w:color w:val="FF0000"/>
          <w:sz w:val="21"/>
          <w:szCs w:val="21"/>
        </w:rPr>
        <w:t>分</w:t>
      </w:r>
    </w:p>
    <w:p w14:paraId="2D5C7986" w14:textId="66C7BBDB" w:rsidR="00186596" w:rsidRDefault="00186596" w:rsidP="00186596">
      <w:pPr>
        <w:widowControl w:val="0"/>
        <w:wordWrap/>
        <w:adjustRightInd w:val="0"/>
        <w:snapToGrid w:val="0"/>
        <w:spacing w:line="360" w:lineRule="auto"/>
        <w:ind w:left="0" w:firstLineChars="200" w:firstLine="420"/>
        <w:jc w:val="left"/>
        <w:rPr>
          <w:rFonts w:ascii="宋体" w:hAnsi="宋体" w:cs="宋体"/>
          <w:sz w:val="21"/>
          <w:szCs w:val="21"/>
        </w:rPr>
      </w:pPr>
      <w:r>
        <w:rPr>
          <w:rFonts w:ascii="宋体" w:hAnsi="宋体" w:cs="宋体" w:hint="eastAsia"/>
          <w:sz w:val="21"/>
          <w:szCs w:val="21"/>
        </w:rPr>
        <w:t>201</w:t>
      </w:r>
      <w:r>
        <w:rPr>
          <w:rFonts w:ascii="宋体" w:hAnsi="宋体" w:cs="宋体"/>
          <w:sz w:val="21"/>
          <w:szCs w:val="21"/>
        </w:rPr>
        <w:t>9</w:t>
      </w:r>
      <w:r>
        <w:rPr>
          <w:rFonts w:ascii="宋体" w:hAnsi="宋体" w:cs="宋体" w:hint="eastAsia"/>
          <w:sz w:val="21"/>
          <w:szCs w:val="21"/>
        </w:rPr>
        <w:t>年1月1日起至今</w:t>
      </w:r>
      <w:r>
        <w:rPr>
          <w:rFonts w:ascii="宋体" w:hAnsi="宋体" w:cs="宋体"/>
          <w:sz w:val="21"/>
          <w:szCs w:val="21"/>
        </w:rPr>
        <w:t>（以合同签订之日起</w:t>
      </w:r>
      <w:r>
        <w:rPr>
          <w:rFonts w:ascii="宋体" w:hAnsi="宋体" w:cs="宋体" w:hint="eastAsia"/>
          <w:sz w:val="21"/>
          <w:szCs w:val="21"/>
        </w:rPr>
        <w:t>为准</w:t>
      </w:r>
      <w:r>
        <w:rPr>
          <w:rFonts w:ascii="宋体" w:hAnsi="宋体" w:cs="宋体"/>
          <w:sz w:val="21"/>
          <w:szCs w:val="21"/>
        </w:rPr>
        <w:t>）</w:t>
      </w:r>
      <w:r>
        <w:rPr>
          <w:rFonts w:ascii="宋体" w:hAnsi="宋体" w:cs="宋体" w:hint="eastAsia"/>
          <w:sz w:val="21"/>
          <w:szCs w:val="21"/>
        </w:rPr>
        <w:t>响应单位具有类似服务项目业绩的，每提供一个得</w:t>
      </w:r>
      <w:r w:rsidR="00AB3AEB">
        <w:rPr>
          <w:rFonts w:ascii="宋体" w:hAnsi="宋体" w:cs="宋体"/>
          <w:sz w:val="21"/>
          <w:szCs w:val="21"/>
        </w:rPr>
        <w:t>5</w:t>
      </w:r>
      <w:r>
        <w:rPr>
          <w:rFonts w:ascii="宋体" w:hAnsi="宋体" w:cs="宋体" w:hint="eastAsia"/>
          <w:sz w:val="21"/>
          <w:szCs w:val="21"/>
        </w:rPr>
        <w:t>分，最高得</w:t>
      </w:r>
      <w:r w:rsidR="00BD1DE8">
        <w:rPr>
          <w:rFonts w:ascii="宋体" w:hAnsi="宋体" w:cs="宋体"/>
          <w:sz w:val="21"/>
          <w:szCs w:val="21"/>
        </w:rPr>
        <w:t>20</w:t>
      </w:r>
      <w:r>
        <w:rPr>
          <w:rFonts w:ascii="宋体" w:hAnsi="宋体" w:cs="宋体" w:hint="eastAsia"/>
          <w:sz w:val="21"/>
          <w:szCs w:val="21"/>
        </w:rPr>
        <w:t>分。</w:t>
      </w:r>
    </w:p>
    <w:p w14:paraId="4FAEDA3A" w14:textId="72A63D36" w:rsidR="00186596" w:rsidRDefault="00186596" w:rsidP="00186596">
      <w:pPr>
        <w:widowControl w:val="0"/>
        <w:wordWrap/>
        <w:adjustRightInd w:val="0"/>
        <w:snapToGrid w:val="0"/>
        <w:spacing w:line="360" w:lineRule="auto"/>
        <w:ind w:left="0" w:firstLineChars="200" w:firstLine="422"/>
        <w:jc w:val="left"/>
        <w:rPr>
          <w:rFonts w:ascii="宋体" w:hAnsi="宋体" w:cs="宋体"/>
          <w:b/>
          <w:sz w:val="21"/>
          <w:szCs w:val="21"/>
        </w:rPr>
      </w:pPr>
      <w:r>
        <w:rPr>
          <w:rFonts w:ascii="宋体" w:hAnsi="宋体" w:cs="宋体" w:hint="eastAsia"/>
          <w:b/>
          <w:sz w:val="21"/>
          <w:szCs w:val="21"/>
        </w:rPr>
        <w:lastRenderedPageBreak/>
        <w:t>（注：响应文件中需提供合同复印件并加盖单位公章，不提供相关证明不得分。）</w:t>
      </w:r>
    </w:p>
    <w:p w14:paraId="733E16DB" w14:textId="77777777" w:rsidR="00186596" w:rsidRPr="00BA67AD" w:rsidRDefault="00186596" w:rsidP="00186596">
      <w:pPr>
        <w:pStyle w:val="a0"/>
      </w:pPr>
    </w:p>
    <w:p w14:paraId="2FFFBC0F" w14:textId="77777777" w:rsidR="00186596" w:rsidRDefault="00186596" w:rsidP="00186596">
      <w:pPr>
        <w:widowControl w:val="0"/>
        <w:wordWrap/>
        <w:adjustRightInd w:val="0"/>
        <w:spacing w:line="360" w:lineRule="auto"/>
        <w:ind w:left="0" w:firstLineChars="200" w:firstLine="422"/>
        <w:rPr>
          <w:rFonts w:ascii="宋体" w:hAnsi="宋体" w:cs="宋体"/>
          <w:b/>
          <w:sz w:val="21"/>
          <w:szCs w:val="21"/>
        </w:rPr>
      </w:pPr>
      <w:r>
        <w:rPr>
          <w:rFonts w:ascii="宋体" w:hAnsi="宋体" w:cs="宋体" w:hint="eastAsia"/>
          <w:b/>
          <w:sz w:val="21"/>
          <w:szCs w:val="21"/>
        </w:rPr>
        <w:t>备注：</w:t>
      </w:r>
    </w:p>
    <w:p w14:paraId="00DE569B" w14:textId="77777777" w:rsidR="00186596" w:rsidRDefault="00186596" w:rsidP="00186596">
      <w:pPr>
        <w:widowControl w:val="0"/>
        <w:wordWrap/>
        <w:adjustRightInd w:val="0"/>
        <w:spacing w:line="360" w:lineRule="auto"/>
        <w:ind w:left="0" w:firstLineChars="200" w:firstLine="422"/>
        <w:rPr>
          <w:rFonts w:ascii="宋体" w:hAnsi="宋体" w:cs="宋体"/>
          <w:b/>
          <w:sz w:val="21"/>
          <w:szCs w:val="21"/>
        </w:rPr>
      </w:pPr>
      <w:r>
        <w:rPr>
          <w:rFonts w:ascii="宋体" w:hAnsi="宋体" w:cs="宋体"/>
          <w:b/>
          <w:sz w:val="21"/>
          <w:szCs w:val="21"/>
        </w:rPr>
        <w:t>1</w:t>
      </w:r>
      <w:r>
        <w:rPr>
          <w:rFonts w:ascii="宋体" w:hAnsi="宋体" w:cs="宋体" w:hint="eastAsia"/>
          <w:b/>
          <w:sz w:val="21"/>
          <w:szCs w:val="21"/>
        </w:rPr>
        <w:t>、针对评分标准中评分的每一条，供应商均应提供相关资料并</w:t>
      </w:r>
      <w:proofErr w:type="gramStart"/>
      <w:r>
        <w:rPr>
          <w:rFonts w:ascii="宋体" w:hAnsi="宋体" w:cs="宋体" w:hint="eastAsia"/>
          <w:b/>
          <w:sz w:val="21"/>
          <w:szCs w:val="21"/>
        </w:rPr>
        <w:t>作出</w:t>
      </w:r>
      <w:proofErr w:type="gramEnd"/>
      <w:r>
        <w:rPr>
          <w:rFonts w:ascii="宋体" w:hAnsi="宋体" w:cs="宋体" w:hint="eastAsia"/>
          <w:b/>
          <w:sz w:val="21"/>
          <w:szCs w:val="21"/>
        </w:rPr>
        <w:t>相应说明供评委评判，不提供相关资料的视为不具备该项得分的条件，资料须编好目录及页码。</w:t>
      </w:r>
    </w:p>
    <w:p w14:paraId="6CAD32E6" w14:textId="77777777" w:rsidR="00186596" w:rsidRDefault="00186596" w:rsidP="00186596">
      <w:pPr>
        <w:widowControl w:val="0"/>
        <w:wordWrap/>
        <w:adjustRightInd w:val="0"/>
        <w:spacing w:line="360" w:lineRule="auto"/>
        <w:ind w:left="0" w:firstLineChars="200" w:firstLine="422"/>
        <w:rPr>
          <w:rFonts w:ascii="宋体" w:hAnsi="宋体" w:cs="宋体"/>
          <w:b/>
          <w:sz w:val="21"/>
          <w:szCs w:val="21"/>
        </w:rPr>
      </w:pPr>
      <w:r>
        <w:rPr>
          <w:rFonts w:ascii="宋体" w:hAnsi="宋体" w:cs="宋体"/>
          <w:b/>
          <w:sz w:val="21"/>
          <w:szCs w:val="21"/>
        </w:rPr>
        <w:t>2</w:t>
      </w:r>
      <w:r>
        <w:rPr>
          <w:rFonts w:ascii="宋体" w:hAnsi="宋体" w:cs="宋体" w:hint="eastAsia"/>
          <w:b/>
          <w:sz w:val="21"/>
          <w:szCs w:val="21"/>
        </w:rPr>
        <w:t>、响应文件中如出现前后不一致时，评委有权请供应商澄清说明，澄清说明事项涉及评分时，评委有权酌情扣分。</w:t>
      </w:r>
    </w:p>
    <w:p w14:paraId="4B86A368" w14:textId="77777777" w:rsidR="00186596" w:rsidRDefault="00186596" w:rsidP="00186596">
      <w:pPr>
        <w:widowControl w:val="0"/>
        <w:wordWrap/>
        <w:adjustRightInd w:val="0"/>
        <w:spacing w:line="360" w:lineRule="auto"/>
        <w:ind w:left="0" w:firstLineChars="200" w:firstLine="422"/>
      </w:pPr>
      <w:r>
        <w:rPr>
          <w:rFonts w:ascii="宋体" w:hAnsi="宋体" w:cs="宋体"/>
          <w:b/>
          <w:sz w:val="21"/>
          <w:szCs w:val="21"/>
        </w:rPr>
        <w:t>3</w:t>
      </w:r>
      <w:r>
        <w:rPr>
          <w:rFonts w:ascii="宋体" w:hAnsi="宋体" w:cs="宋体" w:hint="eastAsia"/>
          <w:b/>
          <w:sz w:val="21"/>
          <w:szCs w:val="21"/>
        </w:rPr>
        <w:t>、供应商必须保证全部响应资料的真实性，如有虚假或对采购文件所要求说明的情况故意隐瞒或虚报，视为</w:t>
      </w:r>
      <w:proofErr w:type="gramStart"/>
      <w:r>
        <w:rPr>
          <w:rFonts w:ascii="宋体" w:hAnsi="宋体" w:cs="宋体" w:hint="eastAsia"/>
          <w:b/>
          <w:sz w:val="21"/>
          <w:szCs w:val="21"/>
        </w:rPr>
        <w:t>不</w:t>
      </w:r>
      <w:proofErr w:type="gramEnd"/>
      <w:r>
        <w:rPr>
          <w:rFonts w:ascii="宋体" w:hAnsi="宋体" w:cs="宋体" w:hint="eastAsia"/>
          <w:b/>
          <w:sz w:val="21"/>
          <w:szCs w:val="21"/>
        </w:rPr>
        <w:t>实质性响应采购文件，为无效响应，已成交的将取消成交资格，按“提供虚假材料谋取成交”相关处理办法处理。</w:t>
      </w:r>
      <w:bookmarkStart w:id="5" w:name="_Toc67901590"/>
    </w:p>
    <w:p w14:paraId="0737A9EC" w14:textId="77777777" w:rsidR="00186596" w:rsidRDefault="00186596" w:rsidP="00186596">
      <w:pPr>
        <w:pStyle w:val="a8"/>
      </w:pPr>
    </w:p>
    <w:p w14:paraId="7D7E6DBD" w14:textId="77777777" w:rsidR="00186596" w:rsidRDefault="00186596" w:rsidP="00186596"/>
    <w:p w14:paraId="7644F5E6" w14:textId="77777777" w:rsidR="00186596" w:rsidRDefault="00186596" w:rsidP="00186596">
      <w:pPr>
        <w:pStyle w:val="a0"/>
      </w:pPr>
    </w:p>
    <w:p w14:paraId="4E9A7DB4" w14:textId="77777777" w:rsidR="00186596" w:rsidRDefault="00186596" w:rsidP="00186596">
      <w:pPr>
        <w:pStyle w:val="a8"/>
      </w:pPr>
    </w:p>
    <w:bookmarkEnd w:id="5"/>
    <w:p w14:paraId="17D533B1" w14:textId="77777777" w:rsidR="00186596" w:rsidRDefault="00186596" w:rsidP="00186596">
      <w:pPr>
        <w:wordWrap/>
        <w:spacing w:before="340" w:after="330" w:line="578" w:lineRule="auto"/>
        <w:ind w:left="0"/>
        <w:outlineLvl w:val="0"/>
        <w:rPr>
          <w:rFonts w:ascii="宋体" w:hAnsi="宋体"/>
          <w:kern w:val="2"/>
          <w:sz w:val="24"/>
          <w:szCs w:val="24"/>
          <w:u w:val="single"/>
        </w:rPr>
      </w:pPr>
    </w:p>
    <w:p w14:paraId="2B043E77" w14:textId="77777777" w:rsidR="00D35A5F" w:rsidRPr="00186596" w:rsidRDefault="00D35A5F"/>
    <w:sectPr w:rsidR="00D35A5F" w:rsidRPr="00186596" w:rsidSect="007F3C86">
      <w:footerReference w:type="default" r:id="rId6"/>
      <w:footerReference w:type="first" r:id="rId7"/>
      <w:pgSz w:w="11906" w:h="16838"/>
      <w:pgMar w:top="1418" w:right="1021" w:bottom="1418" w:left="1021" w:header="567" w:footer="567" w:gutter="0"/>
      <w:pgNumType w:fmt="numberInDash"/>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60337" w14:textId="77777777" w:rsidR="00654789" w:rsidRDefault="00654789" w:rsidP="00186596">
      <w:r>
        <w:separator/>
      </w:r>
    </w:p>
  </w:endnote>
  <w:endnote w:type="continuationSeparator" w:id="0">
    <w:p w14:paraId="7712F9B2" w14:textId="77777777" w:rsidR="00654789" w:rsidRDefault="00654789" w:rsidP="00186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1F26B" w14:textId="77777777" w:rsidR="007F3C86" w:rsidRDefault="00000000" w:rsidP="000032B6">
    <w:pPr>
      <w:pStyle w:val="a6"/>
      <w:framePr w:wrap="around"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noProof/>
      </w:rPr>
      <w:t>- 25 -</w:t>
    </w:r>
    <w:r>
      <w:rPr>
        <w:rStyle w:val="ab"/>
      </w:rPr>
      <w:fldChar w:fldCharType="end"/>
    </w:r>
  </w:p>
  <w:p w14:paraId="1F5DC751" w14:textId="64BBD8A7" w:rsidR="00273DD3" w:rsidRDefault="00186596">
    <w:pPr>
      <w:pStyle w:val="a6"/>
      <w:jc w:val="center"/>
    </w:pPr>
    <w:r>
      <w:rPr>
        <w:noProof/>
      </w:rPr>
      <mc:AlternateContent>
        <mc:Choice Requires="wps">
          <w:drawing>
            <wp:anchor distT="0" distB="0" distL="114300" distR="114300" simplePos="0" relativeHeight="251659264" behindDoc="0" locked="0" layoutInCell="1" allowOverlap="1" wp14:anchorId="692CC3D9" wp14:editId="50804AA1">
              <wp:simplePos x="0" y="0"/>
              <wp:positionH relativeFrom="margin">
                <wp:posOffset>3061970</wp:posOffset>
              </wp:positionH>
              <wp:positionV relativeFrom="paragraph">
                <wp:posOffset>1270</wp:posOffset>
              </wp:positionV>
              <wp:extent cx="228600" cy="269875"/>
              <wp:effectExtent l="0" t="0" r="0" b="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69875"/>
                      </a:xfrm>
                      <a:prstGeom prst="rect">
                        <a:avLst/>
                      </a:prstGeom>
                      <a:noFill/>
                      <a:ln w="6350">
                        <a:noFill/>
                      </a:ln>
                      <a:effectLst/>
                    </wps:spPr>
                    <wps:txbx>
                      <w:txbxContent>
                        <w:p w14:paraId="550AC9A3" w14:textId="77777777" w:rsidR="00273DD3" w:rsidRDefault="00000000">
                          <w:pPr>
                            <w:pStyle w:val="a6"/>
                          </w:pPr>
                          <w:r>
                            <w:rPr>
                              <w:rFonts w:hint="eastAsia"/>
                            </w:rPr>
                            <w:fldChar w:fldCharType="begin"/>
                          </w:r>
                          <w:r>
                            <w:rPr>
                              <w:rFonts w:hint="eastAsia"/>
                            </w:rPr>
                            <w:instrText xml:space="preserve"> PAGE  \* MERGEFORMAT </w:instrText>
                          </w:r>
                          <w:r>
                            <w:rPr>
                              <w:rFonts w:hint="eastAsia"/>
                            </w:rPr>
                            <w:fldChar w:fldCharType="separate"/>
                          </w:r>
                          <w:r w:rsidRPr="007D4F4C">
                            <w:rPr>
                              <w:noProof/>
                            </w:rPr>
                            <w:t>-</w:t>
                          </w:r>
                          <w:r>
                            <w:rPr>
                              <w:noProof/>
                            </w:rPr>
                            <w:t xml:space="preserve"> 25 -</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692CC3D9" id="_x0000_t202" coordsize="21600,21600" o:spt="202" path="m,l,21600r21600,l21600,xe">
              <v:stroke joinstyle="miter"/>
              <v:path gradientshapeok="t" o:connecttype="rect"/>
            </v:shapetype>
            <v:shape id="文本框 15" o:spid="_x0000_s1026" type="#_x0000_t202" style="position:absolute;left:0;text-align:left;margin-left:241.1pt;margin-top:.1pt;width:18pt;height:2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" filled="f" stroked="f" strokeweight=".5pt">
              <v:textbox inset="0,0,0,0">
                <w:txbxContent>
                  <w:p w14:paraId="550AC9A3" w14:textId="77777777" w:rsidR="00273DD3" w:rsidRDefault="00000000">
                    <w:pPr>
                      <w:pStyle w:val="a6"/>
                    </w:pPr>
                    <w:r>
                      <w:rPr>
                        <w:rFonts w:hint="eastAsia"/>
                      </w:rPr>
                      <w:fldChar w:fldCharType="begin"/>
                    </w:r>
                    <w:r>
                      <w:rPr>
                        <w:rFonts w:hint="eastAsia"/>
                      </w:rPr>
                      <w:instrText xml:space="preserve"> PAGE  \* MERG</w:instrText>
                    </w:r>
                    <w:r>
                      <w:rPr>
                        <w:rFonts w:hint="eastAsia"/>
                      </w:rPr>
                      <w:instrText xml:space="preserve">EFORMAT </w:instrText>
                    </w:r>
                    <w:r>
                      <w:rPr>
                        <w:rFonts w:hint="eastAsia"/>
                      </w:rPr>
                      <w:fldChar w:fldCharType="separate"/>
                    </w:r>
                    <w:r w:rsidRPr="007D4F4C">
                      <w:rPr>
                        <w:noProof/>
                        <w:lang w:val="en-US" w:eastAsia="zh-CN"/>
                      </w:rPr>
                      <w:t>-</w:t>
                    </w:r>
                    <w:r>
                      <w:rPr>
                        <w:noProof/>
                      </w:rPr>
                      <w:t xml:space="preserve"> 25 -</w:t>
                    </w:r>
                    <w:r>
                      <w:rPr>
                        <w:rFonts w:hint="eastAsia"/>
                      </w:rPr>
                      <w:fldChar w:fldCharType="end"/>
                    </w:r>
                  </w:p>
                </w:txbxContent>
              </v:textbox>
              <w10:wrap anchorx="margin"/>
            </v:shape>
          </w:pict>
        </mc:Fallback>
      </mc:AlternateContent>
    </w:r>
  </w:p>
  <w:p w14:paraId="6BB43D19" w14:textId="77777777" w:rsidR="00273DD3" w:rsidRDefault="00000000">
    <w:pPr>
      <w:tabs>
        <w:tab w:val="center" w:pos="4153"/>
        <w:tab w:val="right" w:pos="8306"/>
      </w:tabs>
      <w:snapToGrid w:val="0"/>
      <w:ind w:left="0"/>
      <w:jc w:val="left"/>
      <w:rPr>
        <w:rFonts w:ascii="Times New Roman" w:hAnsi="Times New Roman"/>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DCA2" w14:textId="2930681F" w:rsidR="00273DD3" w:rsidRDefault="00186596">
    <w:pPr>
      <w:pStyle w:val="a6"/>
      <w:jc w:val="center"/>
    </w:pPr>
    <w:r>
      <w:rPr>
        <w:noProof/>
      </w:rPr>
      <mc:AlternateContent>
        <mc:Choice Requires="wps">
          <w:drawing>
            <wp:anchor distT="0" distB="0" distL="114300" distR="114300" simplePos="0" relativeHeight="251660288" behindDoc="0" locked="0" layoutInCell="1" allowOverlap="1" wp14:anchorId="75623EA9" wp14:editId="3872DA60">
              <wp:simplePos x="0" y="0"/>
              <wp:positionH relativeFrom="margin">
                <wp:align>center</wp:align>
              </wp:positionH>
              <wp:positionV relativeFrom="paragraph">
                <wp:posOffset>0</wp:posOffset>
              </wp:positionV>
              <wp:extent cx="1828800" cy="1828800"/>
              <wp:effectExtent l="0" t="0" r="3810" b="1016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a:effectLst/>
                    </wps:spPr>
                    <wps:txbx>
                      <w:txbxContent>
                        <w:p w14:paraId="33960009" w14:textId="77777777" w:rsidR="00273DD3" w:rsidRDefault="00000000">
                          <w:pPr>
                            <w:pStyle w:val="a6"/>
                          </w:pPr>
                          <w:r>
                            <w:rPr>
                              <w:rFonts w:hint="eastAsia"/>
                            </w:rPr>
                            <w:fldChar w:fldCharType="begin"/>
                          </w:r>
                          <w:r>
                            <w:rPr>
                              <w:rFonts w:hint="eastAsia"/>
                            </w:rPr>
                            <w:instrText xml:space="preserve"> PAGE  \* MERGEFORMAT </w:instrText>
                          </w:r>
                          <w:r>
                            <w:rPr>
                              <w:rFonts w:hint="eastAsia"/>
                            </w:rPr>
                            <w:fldChar w:fldCharType="separate"/>
                          </w:r>
                          <w:r w:rsidRPr="007F3C86">
                            <w:rPr>
                              <w:noProof/>
                            </w:rPr>
                            <w:t>-</w:t>
                          </w:r>
                          <w:r>
                            <w:rPr>
                              <w:noProof/>
                            </w:rPr>
                            <w:t xml:space="preserve">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75623EA9" id="_x0000_t202" coordsize="21600,21600" o:spt="202" path="m,l,21600r21600,l21600,xe">
              <v:stroke joinstyle="miter"/>
              <v:path gradientshapeok="t" o:connecttype="rect"/>
            </v:shapetype>
            <v:shape id="文本框 16" o:spid="_x0000_s1027" type="#_x0000_t202" style="position:absolute;left:0;text-align:left;margin-left:0;margin-top:0;width:2in;height:2in;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" filled="f" stroked="f" strokeweight=".5pt">
              <v:textbox style="mso-fit-shape-to-text:t" inset="0,0,0,0">
                <w:txbxContent>
                  <w:p w14:paraId="33960009" w14:textId="77777777" w:rsidR="00273DD3" w:rsidRDefault="00000000">
                    <w:pPr>
                      <w:pStyle w:val="a6"/>
                    </w:pPr>
                    <w:r>
                      <w:rPr>
                        <w:rFonts w:hint="eastAsia"/>
                      </w:rPr>
                      <w:fldChar w:fldCharType="begin"/>
                    </w:r>
                    <w:r>
                      <w:rPr>
                        <w:rFonts w:hint="eastAsia"/>
                      </w:rPr>
                      <w:instrText xml:space="preserve"> PAGE  \* MERGEFORMAT </w:instrText>
                    </w:r>
                    <w:r>
                      <w:rPr>
                        <w:rFonts w:hint="eastAsia"/>
                      </w:rPr>
                      <w:fldChar w:fldCharType="separate"/>
                    </w:r>
                    <w:r w:rsidRPr="007F3C86">
                      <w:rPr>
                        <w:noProof/>
                        <w:lang w:val="en-US" w:eastAsia="zh-CN"/>
                      </w:rPr>
                      <w:t>-</w:t>
                    </w:r>
                    <w:r>
                      <w:rPr>
                        <w:noProof/>
                      </w:rPr>
                      <w:t xml:space="preserve"> 2 -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63A0C" w14:textId="77777777" w:rsidR="00654789" w:rsidRDefault="00654789" w:rsidP="00186596">
      <w:r>
        <w:separator/>
      </w:r>
    </w:p>
  </w:footnote>
  <w:footnote w:type="continuationSeparator" w:id="0">
    <w:p w14:paraId="1952D2CD" w14:textId="77777777" w:rsidR="00654789" w:rsidRDefault="00654789" w:rsidP="001865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CB6"/>
    <w:rsid w:val="000F38A6"/>
    <w:rsid w:val="00101D62"/>
    <w:rsid w:val="00186596"/>
    <w:rsid w:val="004D68CA"/>
    <w:rsid w:val="00640D4C"/>
    <w:rsid w:val="00654789"/>
    <w:rsid w:val="00671580"/>
    <w:rsid w:val="0075668F"/>
    <w:rsid w:val="0088436D"/>
    <w:rsid w:val="008B329D"/>
    <w:rsid w:val="00AB1893"/>
    <w:rsid w:val="00AB3AEB"/>
    <w:rsid w:val="00BD1DE8"/>
    <w:rsid w:val="00C81000"/>
    <w:rsid w:val="00D35A5F"/>
    <w:rsid w:val="00DC2CB6"/>
    <w:rsid w:val="00E177FB"/>
    <w:rsid w:val="00FA53F4"/>
    <w:rsid w:val="00FD5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37A87"/>
  <w15:chartTrackingRefBased/>
  <w15:docId w15:val="{60D34A3F-14DB-49F9-BF4C-DAAE867C5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86596"/>
    <w:pPr>
      <w:wordWrap w:val="0"/>
      <w:ind w:left="1024"/>
      <w:jc w:val="both"/>
    </w:pPr>
    <w:rPr>
      <w:rFonts w:ascii="Calibri" w:eastAsia="宋体" w:hAnsi="Calibri" w:cs="Times New Roman"/>
      <w:kern w:val="0"/>
      <w:sz w:val="20"/>
      <w:szCs w:val="20"/>
    </w:rPr>
  </w:style>
  <w:style w:type="paragraph" w:styleId="1">
    <w:name w:val="heading 1"/>
    <w:next w:val="a"/>
    <w:link w:val="10"/>
    <w:qFormat/>
    <w:rsid w:val="00186596"/>
    <w:pPr>
      <w:spacing w:before="340" w:after="330" w:line="578" w:lineRule="auto"/>
      <w:ind w:left="432" w:firstLine="18"/>
      <w:outlineLvl w:val="0"/>
    </w:pPr>
    <w:rPr>
      <w:rFonts w:ascii="Calibri" w:eastAsia="宋体" w:hAnsi="Calibri" w:cs="Times New Roman"/>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186596"/>
    <w:pPr>
      <w:widowControl w:val="0"/>
      <w:pBdr>
        <w:bottom w:val="single" w:sz="6" w:space="1" w:color="auto"/>
      </w:pBdr>
      <w:tabs>
        <w:tab w:val="center" w:pos="4153"/>
        <w:tab w:val="right" w:pos="8306"/>
      </w:tabs>
      <w:wordWrap/>
      <w:snapToGrid w:val="0"/>
      <w:ind w:left="0"/>
      <w:jc w:val="center"/>
    </w:pPr>
    <w:rPr>
      <w:rFonts w:asciiTheme="minorHAnsi" w:eastAsiaTheme="minorEastAsia" w:hAnsiTheme="minorHAnsi" w:cstheme="minorBidi"/>
      <w:kern w:val="2"/>
      <w:sz w:val="18"/>
      <w:szCs w:val="18"/>
    </w:rPr>
  </w:style>
  <w:style w:type="character" w:customStyle="1" w:styleId="a5">
    <w:name w:val="页眉 字符"/>
    <w:basedOn w:val="a1"/>
    <w:link w:val="a4"/>
    <w:uiPriority w:val="99"/>
    <w:rsid w:val="00186596"/>
    <w:rPr>
      <w:sz w:val="18"/>
      <w:szCs w:val="18"/>
    </w:rPr>
  </w:style>
  <w:style w:type="paragraph" w:styleId="a6">
    <w:name w:val="footer"/>
    <w:basedOn w:val="a"/>
    <w:link w:val="a7"/>
    <w:uiPriority w:val="99"/>
    <w:unhideWhenUsed/>
    <w:qFormat/>
    <w:rsid w:val="00186596"/>
    <w:pPr>
      <w:widowControl w:val="0"/>
      <w:tabs>
        <w:tab w:val="center" w:pos="4153"/>
        <w:tab w:val="right" w:pos="8306"/>
      </w:tabs>
      <w:wordWrap/>
      <w:snapToGrid w:val="0"/>
      <w:ind w:left="0"/>
      <w:jc w:val="left"/>
    </w:pPr>
    <w:rPr>
      <w:rFonts w:asciiTheme="minorHAnsi" w:eastAsiaTheme="minorEastAsia" w:hAnsiTheme="minorHAnsi" w:cstheme="minorBidi"/>
      <w:kern w:val="2"/>
      <w:sz w:val="18"/>
      <w:szCs w:val="18"/>
    </w:rPr>
  </w:style>
  <w:style w:type="character" w:customStyle="1" w:styleId="a7">
    <w:name w:val="页脚 字符"/>
    <w:basedOn w:val="a1"/>
    <w:link w:val="a6"/>
    <w:uiPriority w:val="99"/>
    <w:rsid w:val="00186596"/>
    <w:rPr>
      <w:sz w:val="18"/>
      <w:szCs w:val="18"/>
    </w:rPr>
  </w:style>
  <w:style w:type="character" w:customStyle="1" w:styleId="10">
    <w:name w:val="标题 1 字符"/>
    <w:basedOn w:val="a1"/>
    <w:link w:val="1"/>
    <w:rsid w:val="00186596"/>
    <w:rPr>
      <w:rFonts w:ascii="Calibri" w:eastAsia="宋体" w:hAnsi="Calibri" w:cs="Times New Roman"/>
      <w:kern w:val="0"/>
      <w:sz w:val="20"/>
      <w:szCs w:val="20"/>
    </w:rPr>
  </w:style>
  <w:style w:type="paragraph" w:styleId="a0">
    <w:name w:val="Body Text"/>
    <w:basedOn w:val="a"/>
    <w:next w:val="a8"/>
    <w:link w:val="a9"/>
    <w:qFormat/>
    <w:rsid w:val="00186596"/>
    <w:pPr>
      <w:ind w:left="0" w:firstLine="2560"/>
    </w:pPr>
  </w:style>
  <w:style w:type="character" w:customStyle="1" w:styleId="a9">
    <w:name w:val="正文文本 字符"/>
    <w:basedOn w:val="a1"/>
    <w:link w:val="a0"/>
    <w:rsid w:val="00186596"/>
    <w:rPr>
      <w:rFonts w:ascii="Calibri" w:eastAsia="宋体" w:hAnsi="Calibri" w:cs="Times New Roman"/>
      <w:kern w:val="0"/>
      <w:sz w:val="20"/>
      <w:szCs w:val="20"/>
    </w:rPr>
  </w:style>
  <w:style w:type="paragraph" w:styleId="a8">
    <w:name w:val="Normal Indent"/>
    <w:basedOn w:val="a"/>
    <w:next w:val="a"/>
    <w:link w:val="aa"/>
    <w:qFormat/>
    <w:rsid w:val="00186596"/>
    <w:pPr>
      <w:ind w:left="420" w:firstLine="4772"/>
    </w:pPr>
  </w:style>
  <w:style w:type="character" w:customStyle="1" w:styleId="aa">
    <w:name w:val="正文缩进 字符"/>
    <w:link w:val="a8"/>
    <w:qFormat/>
    <w:rsid w:val="00186596"/>
    <w:rPr>
      <w:rFonts w:ascii="Calibri" w:eastAsia="宋体" w:hAnsi="Calibri" w:cs="Times New Roman"/>
      <w:kern w:val="0"/>
      <w:sz w:val="20"/>
      <w:szCs w:val="20"/>
    </w:rPr>
  </w:style>
  <w:style w:type="character" w:styleId="ab">
    <w:name w:val="page number"/>
    <w:qFormat/>
    <w:rsid w:val="00186596"/>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qingang</dc:creator>
  <cp:keywords/>
  <dc:description/>
  <cp:lastModifiedBy>qingang</cp:lastModifiedBy>
  <cp:revision>19</cp:revision>
  <dcterms:created xsi:type="dcterms:W3CDTF">2022-08-15T07:47:00Z</dcterms:created>
  <dcterms:modified xsi:type="dcterms:W3CDTF">2022-08-16T06:21:00Z</dcterms:modified>
</cp:coreProperties>
</file>