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0748" w14:textId="77777777" w:rsidR="00C55B8C" w:rsidRDefault="00000000">
      <w:pPr>
        <w:jc w:val="center"/>
        <w:rPr>
          <w:b/>
          <w:sz w:val="32"/>
          <w:szCs w:val="32"/>
        </w:rPr>
      </w:pPr>
      <w:r>
        <w:rPr>
          <w:rFonts w:hint="eastAsia"/>
          <w:b/>
          <w:sz w:val="32"/>
          <w:szCs w:val="32"/>
        </w:rPr>
        <w:t>苏州科技城医院监控增补项目</w:t>
      </w:r>
    </w:p>
    <w:p w14:paraId="4D2A0350" w14:textId="77777777" w:rsidR="00C55B8C" w:rsidRDefault="00000000">
      <w:pPr>
        <w:jc w:val="center"/>
        <w:rPr>
          <w:b/>
          <w:sz w:val="32"/>
          <w:szCs w:val="32"/>
        </w:rPr>
      </w:pPr>
      <w:r>
        <w:rPr>
          <w:rFonts w:hint="eastAsia"/>
          <w:b/>
          <w:sz w:val="32"/>
          <w:szCs w:val="32"/>
        </w:rPr>
        <w:t>招标文件</w:t>
      </w:r>
    </w:p>
    <w:p w14:paraId="5FCDE9B4"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苏州科技城医院拟对“监控增补项目”进行院内招标采购，欢迎符合采购文件资格条件的各供应商前来报名参加。</w:t>
      </w:r>
    </w:p>
    <w:p w14:paraId="798B8FD4"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一、采购项目：监控增补项目 </w:t>
      </w:r>
    </w:p>
    <w:p w14:paraId="7A19B85D"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二、质保期限：自合同签订之日起一年</w:t>
      </w:r>
    </w:p>
    <w:p w14:paraId="47C2CDD5"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三、采购预算：250000元（贰拾伍万元整）</w:t>
      </w:r>
    </w:p>
    <w:p w14:paraId="175F3C93"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四、参加招标的供应商资格证明文件包括：</w:t>
      </w:r>
    </w:p>
    <w:p w14:paraId="3BA37EDD"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1、营业执照副本复印件；</w:t>
      </w:r>
    </w:p>
    <w:p w14:paraId="0A46A540"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2、法人及法人授权代表身份证复印件；</w:t>
      </w:r>
    </w:p>
    <w:p w14:paraId="533E4E3B"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3、法定代表人授权委托书原件；</w:t>
      </w:r>
    </w:p>
    <w:p w14:paraId="184C204D"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4、具有履行合同所必需的设备和专业技术能力；</w:t>
      </w:r>
    </w:p>
    <w:p w14:paraId="3B7FEEE8"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5、有依法缴纳税收和社会保障资金的良好记录；</w:t>
      </w:r>
    </w:p>
    <w:p w14:paraId="35FD1851" w14:textId="77777777" w:rsidR="00C55B8C" w:rsidRDefault="00000000">
      <w:pPr>
        <w:pStyle w:val="a6"/>
        <w:widowControl/>
        <w:shd w:val="clear" w:color="auto" w:fill="FFFFFF"/>
        <w:spacing w:beforeAutospacing="0" w:afterAutospacing="0" w:line="360" w:lineRule="auto"/>
        <w:ind w:firstLine="240"/>
        <w:rPr>
          <w:rFonts w:ascii="微软雅黑" w:eastAsia="宋体" w:hAnsi="微软雅黑" w:cs="微软雅黑"/>
          <w:sz w:val="21"/>
          <w:szCs w:val="21"/>
        </w:rPr>
      </w:pPr>
      <w:r>
        <w:rPr>
          <w:rFonts w:ascii="宋体" w:eastAsia="宋体" w:hAnsi="宋体" w:cs="宋体" w:hint="eastAsia"/>
          <w:sz w:val="21"/>
          <w:szCs w:val="21"/>
          <w:shd w:val="clear" w:color="auto" w:fill="FFFFFF"/>
        </w:rPr>
        <w:t>6、参加采购活动前三年内，在经营活动中没有重大违法记录的承诺。</w:t>
      </w:r>
    </w:p>
    <w:p w14:paraId="499AB3B1"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五、本项目报名及获取采购文件相关信息</w:t>
      </w:r>
    </w:p>
    <w:p w14:paraId="4EEC6617" w14:textId="700CB277" w:rsidR="00C55B8C" w:rsidRDefault="00000000">
      <w:pPr>
        <w:pStyle w:val="a6"/>
        <w:widowControl/>
        <w:shd w:val="clear" w:color="auto" w:fill="FFFFFF"/>
        <w:spacing w:beforeAutospacing="0" w:afterAutospacing="0" w:line="360" w:lineRule="auto"/>
        <w:ind w:firstLine="240"/>
        <w:rPr>
          <w:rFonts w:ascii="微软雅黑" w:eastAsia="宋体" w:hAnsi="微软雅黑" w:cs="微软雅黑"/>
          <w:sz w:val="21"/>
          <w:szCs w:val="21"/>
        </w:rPr>
      </w:pPr>
      <w:r>
        <w:rPr>
          <w:rFonts w:ascii="宋体" w:eastAsia="宋体" w:hAnsi="宋体" w:cs="宋体" w:hint="eastAsia"/>
          <w:sz w:val="21"/>
          <w:szCs w:val="21"/>
          <w:shd w:val="clear" w:color="auto" w:fill="FFFFFF"/>
        </w:rPr>
        <w:t>1、报名截止时间：2022年</w:t>
      </w:r>
      <w:r w:rsidR="00103517">
        <w:rPr>
          <w:rFonts w:ascii="宋体" w:eastAsia="宋体" w:hAnsi="宋体" w:cs="宋体"/>
          <w:sz w:val="21"/>
          <w:szCs w:val="21"/>
          <w:shd w:val="clear" w:color="auto" w:fill="FFFFFF"/>
        </w:rPr>
        <w:t>9</w:t>
      </w:r>
      <w:r>
        <w:rPr>
          <w:rFonts w:ascii="宋体" w:eastAsia="宋体" w:hAnsi="宋体" w:cs="宋体" w:hint="eastAsia"/>
          <w:sz w:val="21"/>
          <w:szCs w:val="21"/>
          <w:shd w:val="clear" w:color="auto" w:fill="FFFFFF"/>
        </w:rPr>
        <w:t>月</w:t>
      </w:r>
      <w:r w:rsidR="009D7298">
        <w:rPr>
          <w:rFonts w:ascii="宋体" w:eastAsia="宋体" w:hAnsi="宋体" w:cs="宋体"/>
          <w:sz w:val="21"/>
          <w:szCs w:val="21"/>
          <w:shd w:val="clear" w:color="auto" w:fill="FFFFFF"/>
        </w:rPr>
        <w:t>7</w:t>
      </w:r>
      <w:r>
        <w:rPr>
          <w:rFonts w:ascii="宋体" w:eastAsia="宋体" w:hAnsi="宋体" w:cs="宋体" w:hint="eastAsia"/>
          <w:sz w:val="21"/>
          <w:szCs w:val="21"/>
          <w:shd w:val="clear" w:color="auto" w:fill="FFFFFF"/>
        </w:rPr>
        <w:t>日17:00时。</w:t>
      </w:r>
    </w:p>
    <w:p w14:paraId="5E15638F"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2、在报名截止时间前将资格证明文件（第四项）送达联系人处。</w:t>
      </w:r>
    </w:p>
    <w:p w14:paraId="759951AB"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3、投标人必须按资格证明文件要求及顺序编制目录和对应页码装订成册，不按要求制作报名材料的院方有权取消其本次报名资格。</w:t>
      </w:r>
    </w:p>
    <w:p w14:paraId="15DEFC78"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六、招标时间、地点：</w:t>
      </w:r>
    </w:p>
    <w:p w14:paraId="26883813"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1、递交响应文件的截止时间：另行通知</w:t>
      </w:r>
    </w:p>
    <w:p w14:paraId="52DBF862"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2、招标时间：另行通知</w:t>
      </w:r>
    </w:p>
    <w:p w14:paraId="5BD4AC61"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3、招标地点：苏州科技城医院</w:t>
      </w:r>
    </w:p>
    <w:p w14:paraId="08E5EAD8"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七、院内招标响应文件组成（必须按以下要求及顺序编制目录和对应页码装订成册，不按要求制作标书的院方有权取消其本次招标资格）</w:t>
      </w:r>
    </w:p>
    <w:p w14:paraId="776F1FA1"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1、投标人资格证明文件（详见文件第四项）；</w:t>
      </w:r>
    </w:p>
    <w:p w14:paraId="7D1D6868"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2、原厂针对本项目的授权书、质保承诺书；</w:t>
      </w:r>
    </w:p>
    <w:p w14:paraId="6C3B66F9"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3、售中、售后服务及相关培训服务承诺；</w:t>
      </w:r>
    </w:p>
    <w:p w14:paraId="3DEA4EC6"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4、交付使用时间；</w:t>
      </w:r>
    </w:p>
    <w:p w14:paraId="60DCE68F"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lastRenderedPageBreak/>
        <w:t>5、与本次采购有关的其他资料；</w:t>
      </w:r>
    </w:p>
    <w:p w14:paraId="1585D39E"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八、报价要求（报价表见附件）：</w:t>
      </w:r>
    </w:p>
    <w:p w14:paraId="4A141BCE"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1、各家根据院方报价格式一次报定最终成交价格。</w:t>
      </w:r>
    </w:p>
    <w:p w14:paraId="007B8BA6"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2、写明整体打包优惠价或优惠方案。</w:t>
      </w:r>
    </w:p>
    <w:p w14:paraId="1EA922AB" w14:textId="77777777" w:rsidR="00C55B8C" w:rsidRDefault="00000000">
      <w:pPr>
        <w:pStyle w:val="a6"/>
        <w:widowControl/>
        <w:shd w:val="clear" w:color="auto" w:fill="FFFFFF"/>
        <w:spacing w:beforeAutospacing="0" w:afterAutospacing="0" w:line="360" w:lineRule="auto"/>
        <w:ind w:firstLine="240"/>
        <w:rPr>
          <w:rFonts w:ascii="微软雅黑" w:eastAsia="微软雅黑" w:hAnsi="微软雅黑" w:cs="微软雅黑"/>
          <w:sz w:val="21"/>
          <w:szCs w:val="21"/>
        </w:rPr>
      </w:pPr>
      <w:r>
        <w:rPr>
          <w:rFonts w:ascii="宋体" w:eastAsia="宋体" w:hAnsi="宋体" w:cs="宋体" w:hint="eastAsia"/>
          <w:sz w:val="21"/>
          <w:szCs w:val="21"/>
          <w:shd w:val="clear" w:color="auto" w:fill="FFFFFF"/>
        </w:rPr>
        <w:t>3、报价单密封在信封里，会前交给工作人员。</w:t>
      </w:r>
    </w:p>
    <w:p w14:paraId="59A3B8E9"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九、联系单位：</w:t>
      </w:r>
    </w:p>
    <w:p w14:paraId="78F9B039"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采购人：苏州科技城医院</w:t>
      </w:r>
    </w:p>
    <w:p w14:paraId="1DEA80AE"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地 址：苏州高新区漓江路1号</w:t>
      </w:r>
    </w:p>
    <w:p w14:paraId="4857645C"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联系人：袁老师       联系电话：17715187321 </w:t>
      </w:r>
    </w:p>
    <w:p w14:paraId="5BB1EC65"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（工作时间：上午8:00---12:00  下午13:00---17:00）</w:t>
      </w:r>
    </w:p>
    <w:p w14:paraId="53C6C9C3" w14:textId="77777777" w:rsidR="00C55B8C" w:rsidRDefault="00000000">
      <w:pPr>
        <w:pStyle w:val="a6"/>
        <w:widowControl/>
        <w:shd w:val="clear" w:color="auto" w:fill="FFFFFF"/>
        <w:spacing w:beforeAutospacing="0" w:afterAutospacing="0" w:line="360" w:lineRule="auto"/>
        <w:ind w:firstLine="24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十、请贵单位领取本次招标采购文件后，认真阅读各项内容，进行必要的招标准备，并按文件的要求编制招标响应文件（文件一式10份，其中正本1份，副本9份），并按上述确定的时间、地点准时参加院内招标。</w:t>
      </w:r>
    </w:p>
    <w:p w14:paraId="0C372D56" w14:textId="77777777" w:rsidR="00C55B8C" w:rsidRDefault="00C55B8C">
      <w:pPr>
        <w:rPr>
          <w:b/>
          <w:sz w:val="36"/>
          <w:szCs w:val="36"/>
        </w:rPr>
      </w:pPr>
    </w:p>
    <w:p w14:paraId="3BD2FA82" w14:textId="77777777" w:rsidR="00C55B8C" w:rsidRDefault="00C55B8C">
      <w:pPr>
        <w:jc w:val="center"/>
        <w:rPr>
          <w:szCs w:val="21"/>
        </w:rPr>
      </w:pPr>
    </w:p>
    <w:p w14:paraId="27E124E5" w14:textId="77777777" w:rsidR="00C55B8C" w:rsidRDefault="00000000">
      <w:pPr>
        <w:rPr>
          <w:rFonts w:asciiTheme="majorEastAsia" w:eastAsiaTheme="majorEastAsia" w:hAnsiTheme="majorEastAsia"/>
          <w:b/>
          <w:sz w:val="24"/>
          <w:szCs w:val="24"/>
        </w:rPr>
      </w:pPr>
      <w:r>
        <w:rPr>
          <w:rFonts w:asciiTheme="majorEastAsia" w:eastAsiaTheme="majorEastAsia" w:hAnsiTheme="majorEastAsia" w:hint="eastAsia"/>
          <w:b/>
          <w:sz w:val="24"/>
          <w:szCs w:val="24"/>
        </w:rPr>
        <w:br w:type="page"/>
      </w:r>
    </w:p>
    <w:p w14:paraId="03512C9A" w14:textId="77777777" w:rsidR="00C55B8C" w:rsidRDefault="00000000">
      <w:pPr>
        <w:jc w:val="center"/>
        <w:rPr>
          <w:b/>
          <w:sz w:val="32"/>
          <w:szCs w:val="32"/>
        </w:rPr>
      </w:pPr>
      <w:r>
        <w:rPr>
          <w:rFonts w:hint="eastAsia"/>
          <w:b/>
          <w:sz w:val="32"/>
          <w:szCs w:val="32"/>
        </w:rPr>
        <w:lastRenderedPageBreak/>
        <w:t>苏州科技城医院监控增补项目</w:t>
      </w:r>
    </w:p>
    <w:p w14:paraId="5C28C764" w14:textId="77777777" w:rsidR="00C55B8C" w:rsidRDefault="00000000">
      <w:pPr>
        <w:jc w:val="center"/>
        <w:rPr>
          <w:b/>
          <w:sz w:val="32"/>
          <w:szCs w:val="32"/>
        </w:rPr>
      </w:pPr>
      <w:r>
        <w:rPr>
          <w:rFonts w:hint="eastAsia"/>
          <w:b/>
          <w:sz w:val="32"/>
          <w:szCs w:val="32"/>
        </w:rPr>
        <w:t>评分标准</w:t>
      </w:r>
    </w:p>
    <w:p w14:paraId="2376310E" w14:textId="77777777" w:rsidR="00C55B8C" w:rsidRDefault="00000000">
      <w:pPr>
        <w:adjustRightInd w:val="0"/>
        <w:snapToGrid w:val="0"/>
        <w:spacing w:line="360" w:lineRule="auto"/>
        <w:ind w:left="482" w:hangingChars="200" w:hanging="482"/>
        <w:rPr>
          <w:rFonts w:asciiTheme="majorEastAsia" w:eastAsiaTheme="majorEastAsia" w:hAnsiTheme="majorEastAsia"/>
          <w:sz w:val="24"/>
          <w:szCs w:val="24"/>
        </w:rPr>
      </w:pPr>
      <w:r>
        <w:rPr>
          <w:rFonts w:asciiTheme="majorEastAsia" w:eastAsiaTheme="majorEastAsia" w:hAnsiTheme="majorEastAsia" w:hint="eastAsia"/>
          <w:b/>
          <w:sz w:val="24"/>
          <w:szCs w:val="24"/>
        </w:rPr>
        <w:t>一、评分体系</w:t>
      </w:r>
    </w:p>
    <w:p w14:paraId="0844BBE2" w14:textId="77777777" w:rsidR="00C55B8C" w:rsidRDefault="00000000">
      <w:pPr>
        <w:adjustRightInd w:val="0"/>
        <w:snapToGrid w:val="0"/>
        <w:spacing w:line="360" w:lineRule="auto"/>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ab/>
        <w:t>本评标办法采用综合评分法。</w:t>
      </w:r>
    </w:p>
    <w:p w14:paraId="4FE87FC1" w14:textId="77777777" w:rsidR="00C55B8C" w:rsidRDefault="00000000">
      <w:pPr>
        <w:adjustRightInd w:val="0"/>
        <w:snapToGrid w:val="0"/>
        <w:spacing w:line="360" w:lineRule="auto"/>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ab/>
        <w:t>本项目评分及其统计：按照评标程序、评分标准以及权重分配的规定，评标小组各成员分别就各个投标人的商务状况、技术状况及其对招标文件要求的响应情况进行评议和比较，评出其商务评分、技术评分和价格评分相加得出其综合得分。</w:t>
      </w:r>
    </w:p>
    <w:p w14:paraId="2579E0DD" w14:textId="77777777" w:rsidR="00C55B8C" w:rsidRDefault="00000000">
      <w:pPr>
        <w:adjustRightInd w:val="0"/>
        <w:snapToGrid w:val="0"/>
        <w:spacing w:line="360" w:lineRule="auto"/>
        <w:ind w:left="482" w:hangingChars="200" w:hanging="482"/>
        <w:jc w:val="left"/>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二、评分法则</w:t>
      </w:r>
    </w:p>
    <w:p w14:paraId="4FB43847" w14:textId="77777777" w:rsidR="00C55B8C" w:rsidRDefault="00000000">
      <w:pPr>
        <w:tabs>
          <w:tab w:val="left" w:pos="5955"/>
        </w:tabs>
        <w:adjustRightInd w:val="0"/>
        <w:snapToGrid w:val="0"/>
        <w:spacing w:line="360" w:lineRule="auto"/>
        <w:ind w:leftChars="200" w:left="420"/>
        <w:jc w:val="left"/>
        <w:rPr>
          <w:rFonts w:asciiTheme="majorEastAsia" w:eastAsiaTheme="majorEastAsia" w:hAnsiTheme="majorEastAsia" w:cs="Times New Roman"/>
          <w:color w:val="000000"/>
          <w:sz w:val="24"/>
          <w:szCs w:val="24"/>
        </w:rPr>
      </w:pPr>
      <w:r>
        <w:rPr>
          <w:rFonts w:asciiTheme="majorEastAsia" w:eastAsiaTheme="majorEastAsia" w:hAnsiTheme="majorEastAsia" w:cs="Times New Roman" w:hint="eastAsia"/>
          <w:color w:val="000000"/>
          <w:sz w:val="24"/>
          <w:szCs w:val="24"/>
        </w:rPr>
        <w:t>总得分＝技术得分＋报价得分。</w:t>
      </w:r>
    </w:p>
    <w:p w14:paraId="4FDFEC42" w14:textId="77777777" w:rsidR="00C55B8C" w:rsidRDefault="00000000">
      <w:pPr>
        <w:adjustRightInd w:val="0"/>
        <w:snapToGrid w:val="0"/>
        <w:spacing w:line="360" w:lineRule="auto"/>
        <w:ind w:left="482" w:hangingChars="200" w:hanging="482"/>
        <w:jc w:val="left"/>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三、评分权重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208"/>
        <w:gridCol w:w="3143"/>
      </w:tblGrid>
      <w:tr w:rsidR="00C55B8C" w14:paraId="6C03F78A" w14:textId="77777777">
        <w:trPr>
          <w:trHeight w:val="537"/>
          <w:jc w:val="center"/>
        </w:trPr>
        <w:tc>
          <w:tcPr>
            <w:tcW w:w="1471" w:type="pct"/>
            <w:tcBorders>
              <w:bottom w:val="single" w:sz="4" w:space="0" w:color="auto"/>
              <w:right w:val="single" w:sz="4" w:space="0" w:color="auto"/>
            </w:tcBorders>
            <w:vAlign w:val="center"/>
          </w:tcPr>
          <w:p w14:paraId="5C779277" w14:textId="77777777" w:rsidR="00C55B8C" w:rsidRDefault="00000000">
            <w:pPr>
              <w:jc w:val="center"/>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项目</w:t>
            </w:r>
          </w:p>
        </w:tc>
        <w:tc>
          <w:tcPr>
            <w:tcW w:w="1782" w:type="pct"/>
            <w:tcBorders>
              <w:left w:val="single" w:sz="4" w:space="0" w:color="auto"/>
              <w:bottom w:val="single" w:sz="4" w:space="0" w:color="auto"/>
              <w:right w:val="single" w:sz="4" w:space="0" w:color="auto"/>
            </w:tcBorders>
            <w:vAlign w:val="center"/>
          </w:tcPr>
          <w:p w14:paraId="723ACE0C" w14:textId="77777777" w:rsidR="00C55B8C" w:rsidRDefault="00000000">
            <w:pPr>
              <w:jc w:val="center"/>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技术得分</w:t>
            </w:r>
          </w:p>
        </w:tc>
        <w:tc>
          <w:tcPr>
            <w:tcW w:w="1746" w:type="pct"/>
            <w:tcBorders>
              <w:left w:val="single" w:sz="4" w:space="0" w:color="auto"/>
              <w:bottom w:val="single" w:sz="4" w:space="0" w:color="auto"/>
            </w:tcBorders>
            <w:vAlign w:val="center"/>
          </w:tcPr>
          <w:p w14:paraId="54FF9500" w14:textId="77777777" w:rsidR="00C55B8C" w:rsidRDefault="00000000">
            <w:pPr>
              <w:jc w:val="center"/>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报价得分</w:t>
            </w:r>
          </w:p>
        </w:tc>
      </w:tr>
      <w:tr w:rsidR="00C55B8C" w14:paraId="10CB48B8" w14:textId="77777777">
        <w:trPr>
          <w:trHeight w:val="525"/>
          <w:jc w:val="center"/>
        </w:trPr>
        <w:tc>
          <w:tcPr>
            <w:tcW w:w="1471" w:type="pct"/>
            <w:tcBorders>
              <w:top w:val="single" w:sz="4" w:space="0" w:color="auto"/>
              <w:right w:val="single" w:sz="4" w:space="0" w:color="auto"/>
            </w:tcBorders>
            <w:vAlign w:val="center"/>
          </w:tcPr>
          <w:p w14:paraId="6F3C6177" w14:textId="77777777" w:rsidR="00C55B8C" w:rsidRDefault="0000000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分值</w:t>
            </w:r>
          </w:p>
        </w:tc>
        <w:tc>
          <w:tcPr>
            <w:tcW w:w="1782" w:type="pct"/>
            <w:tcBorders>
              <w:top w:val="single" w:sz="4" w:space="0" w:color="auto"/>
              <w:left w:val="single" w:sz="4" w:space="0" w:color="auto"/>
              <w:right w:val="single" w:sz="4" w:space="0" w:color="auto"/>
            </w:tcBorders>
            <w:vAlign w:val="center"/>
          </w:tcPr>
          <w:p w14:paraId="7A7407A4" w14:textId="77777777" w:rsidR="00C55B8C" w:rsidRDefault="00000000">
            <w:pPr>
              <w:jc w:val="center"/>
              <w:rPr>
                <w:rFonts w:asciiTheme="majorEastAsia" w:eastAsiaTheme="majorEastAsia" w:hAnsiTheme="majorEastAsia" w:cs="Times New Roman"/>
                <w:sz w:val="24"/>
                <w:szCs w:val="24"/>
                <w:highlight w:val="green"/>
              </w:rPr>
            </w:pPr>
            <w:r>
              <w:rPr>
                <w:rFonts w:asciiTheme="majorEastAsia" w:eastAsiaTheme="majorEastAsia" w:hAnsiTheme="majorEastAsia" w:cs="Times New Roman" w:hint="eastAsia"/>
                <w:sz w:val="24"/>
                <w:szCs w:val="24"/>
              </w:rPr>
              <w:t>7</w:t>
            </w:r>
            <w:r>
              <w:rPr>
                <w:rFonts w:asciiTheme="majorEastAsia" w:eastAsiaTheme="majorEastAsia" w:hAnsiTheme="majorEastAsia" w:cs="Times New Roman"/>
                <w:sz w:val="24"/>
                <w:szCs w:val="24"/>
              </w:rPr>
              <w:t>0</w:t>
            </w:r>
            <w:r>
              <w:rPr>
                <w:rFonts w:asciiTheme="majorEastAsia" w:eastAsiaTheme="majorEastAsia" w:hAnsiTheme="majorEastAsia" w:cs="Times New Roman" w:hint="eastAsia"/>
                <w:sz w:val="24"/>
                <w:szCs w:val="24"/>
              </w:rPr>
              <w:t>分</w:t>
            </w:r>
          </w:p>
        </w:tc>
        <w:tc>
          <w:tcPr>
            <w:tcW w:w="1746" w:type="pct"/>
            <w:tcBorders>
              <w:top w:val="single" w:sz="4" w:space="0" w:color="auto"/>
              <w:left w:val="single" w:sz="4" w:space="0" w:color="auto"/>
            </w:tcBorders>
            <w:vAlign w:val="center"/>
          </w:tcPr>
          <w:p w14:paraId="505610B1" w14:textId="77777777" w:rsidR="00C55B8C" w:rsidRDefault="00000000">
            <w:pPr>
              <w:jc w:val="center"/>
              <w:rPr>
                <w:rFonts w:asciiTheme="majorEastAsia" w:eastAsiaTheme="majorEastAsia" w:hAnsiTheme="majorEastAsia" w:cs="Times New Roman"/>
                <w:sz w:val="24"/>
                <w:szCs w:val="24"/>
                <w:highlight w:val="green"/>
              </w:rPr>
            </w:pPr>
            <w:r>
              <w:rPr>
                <w:rFonts w:asciiTheme="majorEastAsia" w:eastAsiaTheme="majorEastAsia" w:hAnsiTheme="majorEastAsia" w:cs="Times New Roman" w:hint="eastAsia"/>
                <w:sz w:val="24"/>
                <w:szCs w:val="24"/>
              </w:rPr>
              <w:t>30分</w:t>
            </w:r>
          </w:p>
        </w:tc>
      </w:tr>
    </w:tbl>
    <w:p w14:paraId="61B17C54" w14:textId="77777777" w:rsidR="00C55B8C" w:rsidRDefault="00000000">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四、技术具体评分标准</w:t>
      </w:r>
    </w:p>
    <w:p w14:paraId="70FB9946" w14:textId="77777777" w:rsidR="00C55B8C" w:rsidRDefault="00000000">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（一）技术部分评分标准（70分）</w:t>
      </w:r>
    </w:p>
    <w:tbl>
      <w:tblPr>
        <w:tblW w:w="53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864"/>
        <w:gridCol w:w="6342"/>
        <w:gridCol w:w="784"/>
      </w:tblGrid>
      <w:tr w:rsidR="00C55B8C" w14:paraId="414928F5" w14:textId="77777777">
        <w:trPr>
          <w:trHeight w:val="554"/>
        </w:trPr>
        <w:tc>
          <w:tcPr>
            <w:tcW w:w="355" w:type="pct"/>
            <w:shd w:val="clear" w:color="auto" w:fill="auto"/>
            <w:noWrap/>
            <w:vAlign w:val="center"/>
          </w:tcPr>
          <w:p w14:paraId="7F340ECF" w14:textId="77777777" w:rsidR="00C55B8C"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序号</w:t>
            </w:r>
          </w:p>
        </w:tc>
        <w:tc>
          <w:tcPr>
            <w:tcW w:w="963" w:type="pct"/>
            <w:shd w:val="clear" w:color="auto" w:fill="auto"/>
            <w:noWrap/>
            <w:vAlign w:val="center"/>
          </w:tcPr>
          <w:p w14:paraId="0B29091F" w14:textId="77777777" w:rsidR="00C55B8C"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评审项目</w:t>
            </w:r>
          </w:p>
        </w:tc>
        <w:tc>
          <w:tcPr>
            <w:tcW w:w="3276" w:type="pct"/>
            <w:shd w:val="clear" w:color="auto" w:fill="auto"/>
            <w:vAlign w:val="center"/>
          </w:tcPr>
          <w:p w14:paraId="404FAFB8" w14:textId="77777777" w:rsidR="00C55B8C"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评审内容及标准说明</w:t>
            </w:r>
          </w:p>
        </w:tc>
        <w:tc>
          <w:tcPr>
            <w:tcW w:w="405" w:type="pct"/>
          </w:tcPr>
          <w:p w14:paraId="4C150E4B" w14:textId="77777777" w:rsidR="00C55B8C"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评分</w:t>
            </w:r>
          </w:p>
          <w:p w14:paraId="5ED23507" w14:textId="77777777" w:rsidR="00C55B8C"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权重</w:t>
            </w:r>
          </w:p>
        </w:tc>
      </w:tr>
      <w:tr w:rsidR="00C55B8C" w14:paraId="56AD2608" w14:textId="77777777">
        <w:trPr>
          <w:trHeight w:val="554"/>
        </w:trPr>
        <w:tc>
          <w:tcPr>
            <w:tcW w:w="688" w:type="dxa"/>
            <w:shd w:val="clear" w:color="auto" w:fill="auto"/>
            <w:noWrap/>
            <w:vAlign w:val="center"/>
          </w:tcPr>
          <w:p w14:paraId="2EB5098F"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1</w:t>
            </w:r>
          </w:p>
        </w:tc>
        <w:tc>
          <w:tcPr>
            <w:tcW w:w="1864" w:type="dxa"/>
            <w:shd w:val="clear" w:color="auto" w:fill="auto"/>
            <w:noWrap/>
            <w:vAlign w:val="center"/>
          </w:tcPr>
          <w:p w14:paraId="723C8285"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投标单位资质</w:t>
            </w:r>
          </w:p>
        </w:tc>
        <w:tc>
          <w:tcPr>
            <w:tcW w:w="6340" w:type="dxa"/>
            <w:shd w:val="clear" w:color="auto" w:fill="auto"/>
            <w:vAlign w:val="center"/>
          </w:tcPr>
          <w:p w14:paraId="166824C6" w14:textId="77777777" w:rsidR="00C55B8C" w:rsidRDefault="00000000">
            <w:pPr>
              <w:widowControl/>
              <w:jc w:val="left"/>
              <w:rPr>
                <w:rFonts w:ascii="宋体" w:hAnsi="宋体" w:cs="宋体"/>
                <w:color w:val="000000"/>
                <w:kern w:val="0"/>
                <w:szCs w:val="21"/>
              </w:rPr>
            </w:pPr>
            <w:r>
              <w:rPr>
                <w:rFonts w:ascii="宋体" w:hAnsi="宋体" w:cs="宋体" w:hint="eastAsia"/>
                <w:color w:val="000000"/>
                <w:kern w:val="0"/>
                <w:szCs w:val="21"/>
              </w:rPr>
              <w:t>投标人具有独立法人资格，营业执照经营范围具有安装维护服务得5分。</w:t>
            </w:r>
          </w:p>
          <w:p w14:paraId="34578E88" w14:textId="77777777" w:rsidR="00C55B8C" w:rsidRDefault="00000000">
            <w:pPr>
              <w:widowControl/>
              <w:jc w:val="left"/>
              <w:rPr>
                <w:rFonts w:ascii="宋体" w:hAnsi="宋体" w:cs="宋体"/>
                <w:color w:val="000000"/>
                <w:kern w:val="0"/>
                <w:szCs w:val="21"/>
              </w:rPr>
            </w:pPr>
            <w:r>
              <w:rPr>
                <w:rFonts w:ascii="宋体" w:hAnsi="宋体" w:cs="宋体" w:hint="eastAsia"/>
                <w:color w:val="000000"/>
                <w:kern w:val="0"/>
                <w:szCs w:val="21"/>
              </w:rPr>
              <w:t>投标人具有质量管理体系认证、环境管理体系认证、职业健康安全管理体系认证、信息安全管理体系认证证书，每提供一份得2分，最高得8分。</w:t>
            </w:r>
          </w:p>
          <w:p w14:paraId="1E03BFA4" w14:textId="77777777" w:rsidR="00C55B8C" w:rsidRDefault="00000000">
            <w:pPr>
              <w:widowControl/>
              <w:jc w:val="left"/>
              <w:rPr>
                <w:rFonts w:ascii="宋体" w:hAnsi="宋体" w:cs="宋体"/>
                <w:b/>
                <w:color w:val="000000"/>
                <w:kern w:val="0"/>
                <w:szCs w:val="21"/>
              </w:rPr>
            </w:pPr>
            <w:r>
              <w:rPr>
                <w:rFonts w:ascii="宋体" w:hAnsi="宋体" w:cs="宋体" w:hint="eastAsia"/>
                <w:color w:val="000000"/>
                <w:kern w:val="0"/>
                <w:szCs w:val="21"/>
              </w:rPr>
              <w:t>投标人具有CS信息系统建设和服务能力等级证书，最高得5分。</w:t>
            </w:r>
          </w:p>
        </w:tc>
        <w:tc>
          <w:tcPr>
            <w:tcW w:w="784" w:type="dxa"/>
            <w:vAlign w:val="center"/>
          </w:tcPr>
          <w:p w14:paraId="10DBADF4"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18</w:t>
            </w:r>
          </w:p>
        </w:tc>
      </w:tr>
      <w:tr w:rsidR="00C55B8C" w14:paraId="4CEF0BA5" w14:textId="77777777">
        <w:trPr>
          <w:trHeight w:val="554"/>
        </w:trPr>
        <w:tc>
          <w:tcPr>
            <w:tcW w:w="688" w:type="dxa"/>
            <w:shd w:val="clear" w:color="auto" w:fill="auto"/>
            <w:noWrap/>
            <w:vAlign w:val="center"/>
          </w:tcPr>
          <w:p w14:paraId="4B98EA2E"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2</w:t>
            </w:r>
          </w:p>
        </w:tc>
        <w:tc>
          <w:tcPr>
            <w:tcW w:w="1864" w:type="dxa"/>
            <w:shd w:val="clear" w:color="auto" w:fill="auto"/>
            <w:noWrap/>
            <w:vAlign w:val="center"/>
          </w:tcPr>
          <w:p w14:paraId="445CC86B"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项目人员资质</w:t>
            </w:r>
          </w:p>
        </w:tc>
        <w:tc>
          <w:tcPr>
            <w:tcW w:w="6340" w:type="dxa"/>
            <w:shd w:val="clear" w:color="auto" w:fill="auto"/>
            <w:vAlign w:val="center"/>
          </w:tcPr>
          <w:p w14:paraId="36818551" w14:textId="77777777" w:rsidR="00C55B8C" w:rsidRDefault="00000000">
            <w:pPr>
              <w:widowControl/>
              <w:jc w:val="left"/>
              <w:rPr>
                <w:rFonts w:ascii="宋体" w:hAnsi="宋体" w:cs="宋体"/>
                <w:b/>
                <w:color w:val="000000"/>
                <w:kern w:val="0"/>
                <w:szCs w:val="21"/>
              </w:rPr>
            </w:pPr>
            <w:r>
              <w:rPr>
                <w:rFonts w:ascii="宋体" w:hAnsi="宋体" w:cs="宋体" w:hint="eastAsia"/>
                <w:color w:val="000000"/>
                <w:kern w:val="0"/>
                <w:szCs w:val="21"/>
              </w:rPr>
              <w:t>项目技术人员必须持有符合本项目相关的电工证，每提供一份得2分，最高得6分。</w:t>
            </w:r>
          </w:p>
        </w:tc>
        <w:tc>
          <w:tcPr>
            <w:tcW w:w="784" w:type="dxa"/>
            <w:vAlign w:val="center"/>
          </w:tcPr>
          <w:p w14:paraId="21E4431A"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6</w:t>
            </w:r>
          </w:p>
        </w:tc>
      </w:tr>
      <w:tr w:rsidR="00C55B8C" w14:paraId="6BB1EF70" w14:textId="77777777">
        <w:trPr>
          <w:trHeight w:val="554"/>
        </w:trPr>
        <w:tc>
          <w:tcPr>
            <w:tcW w:w="688" w:type="dxa"/>
            <w:shd w:val="clear" w:color="auto" w:fill="auto"/>
            <w:noWrap/>
            <w:vAlign w:val="center"/>
          </w:tcPr>
          <w:p w14:paraId="099E928F"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3</w:t>
            </w:r>
          </w:p>
        </w:tc>
        <w:tc>
          <w:tcPr>
            <w:tcW w:w="1864" w:type="dxa"/>
            <w:shd w:val="clear" w:color="auto" w:fill="auto"/>
            <w:noWrap/>
            <w:vAlign w:val="center"/>
          </w:tcPr>
          <w:p w14:paraId="236934B8"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同类项目业绩</w:t>
            </w:r>
          </w:p>
        </w:tc>
        <w:tc>
          <w:tcPr>
            <w:tcW w:w="6340" w:type="dxa"/>
            <w:shd w:val="clear" w:color="auto" w:fill="auto"/>
            <w:vAlign w:val="center"/>
          </w:tcPr>
          <w:p w14:paraId="1618363C" w14:textId="77777777" w:rsidR="00C55B8C" w:rsidRDefault="00000000">
            <w:pPr>
              <w:widowControl/>
              <w:jc w:val="left"/>
              <w:rPr>
                <w:rFonts w:ascii="宋体" w:hAnsi="宋体" w:cs="宋体"/>
                <w:color w:val="000000"/>
                <w:kern w:val="0"/>
                <w:szCs w:val="21"/>
              </w:rPr>
            </w:pPr>
            <w:r>
              <w:rPr>
                <w:rFonts w:ascii="宋体" w:hAnsi="宋体" w:cs="宋体" w:hint="eastAsia"/>
                <w:color w:val="000000"/>
                <w:kern w:val="0"/>
                <w:szCs w:val="21"/>
              </w:rPr>
              <w:t>投标人自2019年</w:t>
            </w:r>
            <w:r>
              <w:rPr>
                <w:rFonts w:ascii="宋体" w:hAnsi="宋体" w:cs="宋体"/>
                <w:color w:val="000000"/>
                <w:kern w:val="0"/>
                <w:szCs w:val="21"/>
              </w:rPr>
              <w:t>1</w:t>
            </w:r>
            <w:r>
              <w:rPr>
                <w:rFonts w:ascii="宋体" w:hAnsi="宋体" w:cs="宋体" w:hint="eastAsia"/>
                <w:color w:val="000000"/>
                <w:kern w:val="0"/>
                <w:szCs w:val="21"/>
              </w:rPr>
              <w:t>月1日至今有类似业绩的；</w:t>
            </w:r>
          </w:p>
          <w:p w14:paraId="39E568E6" w14:textId="77777777" w:rsidR="00C55B8C" w:rsidRDefault="00000000">
            <w:pPr>
              <w:widowControl/>
              <w:jc w:val="left"/>
              <w:rPr>
                <w:rFonts w:ascii="宋体" w:hAnsi="宋体" w:cs="宋体"/>
                <w:b/>
                <w:color w:val="000000"/>
                <w:kern w:val="0"/>
                <w:szCs w:val="21"/>
              </w:rPr>
            </w:pPr>
            <w:r>
              <w:rPr>
                <w:rFonts w:ascii="宋体" w:hAnsi="宋体" w:cs="宋体" w:hint="eastAsia"/>
                <w:color w:val="000000"/>
                <w:kern w:val="0"/>
                <w:szCs w:val="21"/>
              </w:rPr>
              <w:t>提供合同复印件，每提供一份得2分，此项最高得6分。</w:t>
            </w:r>
          </w:p>
        </w:tc>
        <w:tc>
          <w:tcPr>
            <w:tcW w:w="784" w:type="dxa"/>
            <w:vAlign w:val="center"/>
          </w:tcPr>
          <w:p w14:paraId="30F615E0" w14:textId="77777777" w:rsidR="00C55B8C" w:rsidRDefault="00000000">
            <w:pPr>
              <w:widowControl/>
              <w:jc w:val="center"/>
              <w:rPr>
                <w:rFonts w:ascii="宋体" w:hAnsi="宋体" w:cs="宋体"/>
                <w:b/>
                <w:color w:val="000000"/>
                <w:kern w:val="0"/>
                <w:szCs w:val="21"/>
              </w:rPr>
            </w:pPr>
            <w:r>
              <w:rPr>
                <w:rFonts w:ascii="宋体" w:hAnsi="宋体" w:cs="宋体" w:hint="eastAsia"/>
                <w:color w:val="000000"/>
                <w:kern w:val="0"/>
                <w:szCs w:val="21"/>
              </w:rPr>
              <w:t>6</w:t>
            </w:r>
          </w:p>
        </w:tc>
      </w:tr>
      <w:tr w:rsidR="00C55B8C" w14:paraId="03BFEC42" w14:textId="77777777">
        <w:trPr>
          <w:trHeight w:val="280"/>
        </w:trPr>
        <w:tc>
          <w:tcPr>
            <w:tcW w:w="355" w:type="pct"/>
            <w:shd w:val="clear" w:color="auto" w:fill="auto"/>
            <w:noWrap/>
            <w:vAlign w:val="center"/>
          </w:tcPr>
          <w:p w14:paraId="243B9D51" w14:textId="77777777" w:rsidR="00C55B8C" w:rsidRDefault="0000000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63" w:type="pct"/>
            <w:shd w:val="clear" w:color="auto" w:fill="auto"/>
            <w:noWrap/>
            <w:vAlign w:val="center"/>
          </w:tcPr>
          <w:p w14:paraId="1E0EE932" w14:textId="77777777" w:rsidR="00C55B8C" w:rsidRDefault="00000000">
            <w:pPr>
              <w:widowControl/>
              <w:jc w:val="center"/>
              <w:rPr>
                <w:rFonts w:ascii="宋体" w:hAnsi="宋体" w:cs="宋体"/>
                <w:color w:val="000000"/>
                <w:kern w:val="0"/>
                <w:szCs w:val="21"/>
              </w:rPr>
            </w:pPr>
            <w:r>
              <w:rPr>
                <w:rFonts w:ascii="宋体" w:hAnsi="宋体" w:cs="宋体" w:hint="eastAsia"/>
                <w:color w:val="000000"/>
                <w:kern w:val="0"/>
                <w:szCs w:val="21"/>
              </w:rPr>
              <w:t>原厂授权文件、质保承诺</w:t>
            </w:r>
          </w:p>
        </w:tc>
        <w:tc>
          <w:tcPr>
            <w:tcW w:w="3276" w:type="pct"/>
            <w:shd w:val="clear" w:color="auto" w:fill="auto"/>
            <w:vAlign w:val="center"/>
          </w:tcPr>
          <w:p w14:paraId="3D14E28E" w14:textId="77777777" w:rsidR="00C55B8C" w:rsidRDefault="00000000">
            <w:pPr>
              <w:widowControl/>
              <w:jc w:val="left"/>
              <w:rPr>
                <w:rFonts w:ascii="宋体" w:hAnsi="宋体" w:cs="宋体"/>
                <w:kern w:val="0"/>
                <w:szCs w:val="21"/>
              </w:rPr>
            </w:pPr>
            <w:r>
              <w:rPr>
                <w:rFonts w:ascii="宋体" w:eastAsia="宋体" w:hAnsi="宋体" w:cs="宋体" w:hint="eastAsia"/>
                <w:szCs w:val="21"/>
                <w:shd w:val="clear" w:color="auto" w:fill="FFFFFF"/>
              </w:rPr>
              <w:t>提供所投设备原厂针对本项目的授权文件得10分；提供所投设备原厂针对本项目的质保承诺书得10分</w:t>
            </w:r>
            <w:r>
              <w:rPr>
                <w:rFonts w:ascii="宋体" w:hAnsi="宋体" w:cs="宋体" w:hint="eastAsia"/>
                <w:kern w:val="0"/>
                <w:szCs w:val="21"/>
              </w:rPr>
              <w:t>。</w:t>
            </w:r>
          </w:p>
        </w:tc>
        <w:tc>
          <w:tcPr>
            <w:tcW w:w="405" w:type="pct"/>
            <w:vAlign w:val="center"/>
          </w:tcPr>
          <w:p w14:paraId="65442EAF" w14:textId="77777777" w:rsidR="00C55B8C" w:rsidRDefault="00000000">
            <w:pPr>
              <w:widowControl/>
              <w:jc w:val="center"/>
              <w:rPr>
                <w:rFonts w:ascii="宋体" w:hAnsi="宋体" w:cs="宋体"/>
                <w:kern w:val="0"/>
                <w:szCs w:val="21"/>
              </w:rPr>
            </w:pPr>
            <w:r>
              <w:rPr>
                <w:rFonts w:ascii="宋体" w:hAnsi="宋体" w:cs="宋体" w:hint="eastAsia"/>
                <w:kern w:val="0"/>
                <w:szCs w:val="21"/>
              </w:rPr>
              <w:t>20</w:t>
            </w:r>
          </w:p>
        </w:tc>
      </w:tr>
      <w:tr w:rsidR="00C55B8C" w14:paraId="108F7BD4" w14:textId="77777777">
        <w:trPr>
          <w:trHeight w:val="132"/>
        </w:trPr>
        <w:tc>
          <w:tcPr>
            <w:tcW w:w="355" w:type="pct"/>
            <w:shd w:val="clear" w:color="auto" w:fill="auto"/>
            <w:noWrap/>
            <w:vAlign w:val="center"/>
          </w:tcPr>
          <w:p w14:paraId="74D75D0A" w14:textId="77777777" w:rsidR="00C55B8C"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963" w:type="pct"/>
            <w:shd w:val="clear" w:color="auto" w:fill="auto"/>
            <w:vAlign w:val="center"/>
          </w:tcPr>
          <w:p w14:paraId="05194A43" w14:textId="77777777" w:rsidR="00C55B8C" w:rsidRDefault="00000000">
            <w:pPr>
              <w:widowControl/>
              <w:jc w:val="center"/>
              <w:rPr>
                <w:rFonts w:ascii="宋体" w:hAnsi="宋体" w:cs="宋体"/>
                <w:color w:val="000000"/>
                <w:kern w:val="0"/>
                <w:szCs w:val="21"/>
              </w:rPr>
            </w:pPr>
            <w:r>
              <w:rPr>
                <w:rFonts w:ascii="宋体" w:hAnsi="宋体" w:cs="宋体" w:hint="eastAsia"/>
                <w:color w:val="000000"/>
                <w:kern w:val="0"/>
                <w:szCs w:val="21"/>
              </w:rPr>
              <w:t>安装调试</w:t>
            </w:r>
          </w:p>
        </w:tc>
        <w:tc>
          <w:tcPr>
            <w:tcW w:w="3276" w:type="pct"/>
            <w:shd w:val="clear" w:color="auto" w:fill="auto"/>
            <w:vAlign w:val="center"/>
          </w:tcPr>
          <w:p w14:paraId="3642A91C" w14:textId="77777777" w:rsidR="00C55B8C" w:rsidRDefault="00000000">
            <w:pPr>
              <w:widowControl/>
              <w:jc w:val="left"/>
              <w:rPr>
                <w:rFonts w:ascii="宋体" w:hAnsi="宋体" w:cs="宋体"/>
                <w:kern w:val="0"/>
                <w:szCs w:val="21"/>
              </w:rPr>
            </w:pPr>
            <w:r>
              <w:rPr>
                <w:rFonts w:ascii="宋体" w:hAnsi="宋体" w:cs="宋体" w:hint="eastAsia"/>
                <w:color w:val="000000"/>
                <w:kern w:val="0"/>
                <w:szCs w:val="21"/>
              </w:rPr>
              <w:t>投标人根据对本项目的理解并结合现场情况制定安装调试方案，安装调试方案应包括不限于：质量保证、安全管理、进度计划、人员安排、交付期限等</w:t>
            </w:r>
            <w:r>
              <w:rPr>
                <w:rFonts w:ascii="宋体" w:hAnsi="宋体" w:cs="宋体" w:hint="eastAsia"/>
                <w:kern w:val="0"/>
                <w:szCs w:val="21"/>
              </w:rPr>
              <w:t>。</w:t>
            </w:r>
          </w:p>
          <w:p w14:paraId="365E5690" w14:textId="77777777" w:rsidR="00C55B8C" w:rsidRDefault="00000000">
            <w:pPr>
              <w:widowControl/>
              <w:jc w:val="left"/>
              <w:rPr>
                <w:rFonts w:ascii="宋体" w:hAnsi="宋体" w:cs="宋体"/>
                <w:kern w:val="0"/>
                <w:szCs w:val="21"/>
              </w:rPr>
            </w:pPr>
            <w:r>
              <w:rPr>
                <w:rFonts w:ascii="宋体" w:hAnsi="宋体" w:cs="宋体" w:hint="eastAsia"/>
                <w:kern w:val="0"/>
                <w:szCs w:val="21"/>
              </w:rPr>
              <w:t>评委方根据方案的规范性、完整性、可拓展性进行综合评分。</w:t>
            </w:r>
          </w:p>
        </w:tc>
        <w:tc>
          <w:tcPr>
            <w:tcW w:w="405" w:type="pct"/>
            <w:vAlign w:val="center"/>
          </w:tcPr>
          <w:p w14:paraId="5C2B9F6A" w14:textId="77777777" w:rsidR="00C55B8C" w:rsidRDefault="00000000">
            <w:pPr>
              <w:widowControl/>
              <w:jc w:val="center"/>
              <w:rPr>
                <w:rFonts w:ascii="宋体" w:hAnsi="宋体" w:cs="宋体"/>
                <w:kern w:val="0"/>
                <w:szCs w:val="21"/>
              </w:rPr>
            </w:pPr>
            <w:r>
              <w:rPr>
                <w:rFonts w:ascii="宋体" w:hAnsi="宋体" w:cs="宋体" w:hint="eastAsia"/>
                <w:kern w:val="0"/>
                <w:szCs w:val="21"/>
              </w:rPr>
              <w:t>10</w:t>
            </w:r>
          </w:p>
        </w:tc>
      </w:tr>
      <w:tr w:rsidR="00C55B8C" w14:paraId="4CFEC194" w14:textId="77777777">
        <w:trPr>
          <w:trHeight w:val="132"/>
        </w:trPr>
        <w:tc>
          <w:tcPr>
            <w:tcW w:w="355" w:type="pct"/>
            <w:shd w:val="clear" w:color="auto" w:fill="auto"/>
            <w:noWrap/>
            <w:vAlign w:val="center"/>
          </w:tcPr>
          <w:p w14:paraId="6B8E3114" w14:textId="77777777" w:rsidR="00C55B8C" w:rsidRDefault="0000000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963" w:type="pct"/>
            <w:shd w:val="clear" w:color="auto" w:fill="auto"/>
            <w:vAlign w:val="center"/>
          </w:tcPr>
          <w:p w14:paraId="48FDCDE4" w14:textId="77777777" w:rsidR="00C55B8C" w:rsidRDefault="00000000">
            <w:pPr>
              <w:widowControl/>
              <w:jc w:val="center"/>
              <w:rPr>
                <w:rFonts w:ascii="宋体" w:eastAsia="宋体" w:hAnsi="宋体" w:cs="宋体"/>
                <w:color w:val="000000"/>
                <w:kern w:val="0"/>
                <w:szCs w:val="21"/>
              </w:rPr>
            </w:pPr>
            <w:r>
              <w:rPr>
                <w:rFonts w:ascii="宋体" w:eastAsia="宋体" w:hAnsi="宋体" w:cs="宋体" w:hint="eastAsia"/>
                <w:szCs w:val="21"/>
                <w:shd w:val="clear" w:color="auto" w:fill="FFFFFF"/>
              </w:rPr>
              <w:t>售后服务管理</w:t>
            </w:r>
          </w:p>
        </w:tc>
        <w:tc>
          <w:tcPr>
            <w:tcW w:w="3276" w:type="pct"/>
            <w:shd w:val="clear" w:color="auto" w:fill="auto"/>
            <w:vAlign w:val="center"/>
          </w:tcPr>
          <w:p w14:paraId="4BD086F5" w14:textId="77777777" w:rsidR="00C55B8C" w:rsidRDefault="00000000">
            <w:pPr>
              <w:widowControl/>
              <w:jc w:val="left"/>
              <w:rPr>
                <w:rFonts w:ascii="宋体" w:hAnsi="宋体" w:cs="宋体"/>
                <w:color w:val="000000"/>
                <w:kern w:val="0"/>
                <w:szCs w:val="21"/>
              </w:rPr>
            </w:pPr>
            <w:r>
              <w:rPr>
                <w:rFonts w:ascii="宋体" w:eastAsia="宋体" w:hAnsi="宋体" w:cs="宋体" w:hint="eastAsia"/>
                <w:szCs w:val="21"/>
                <w:shd w:val="clear" w:color="auto" w:fill="FFFFFF"/>
              </w:rPr>
              <w:t>提供完整的售后服务流程、售后服务体系、质保期限、售后承诺书、培训服务承诺，满足项目需求的每项得2分，此项最高</w:t>
            </w:r>
            <w:r>
              <w:rPr>
                <w:rFonts w:ascii="宋体" w:hAnsi="宋体" w:cs="宋体" w:hint="eastAsia"/>
                <w:color w:val="000000"/>
                <w:kern w:val="0"/>
                <w:szCs w:val="21"/>
              </w:rPr>
              <w:t>10 分。</w:t>
            </w:r>
          </w:p>
        </w:tc>
        <w:tc>
          <w:tcPr>
            <w:tcW w:w="405" w:type="pct"/>
            <w:vAlign w:val="center"/>
          </w:tcPr>
          <w:p w14:paraId="19D64AC2" w14:textId="77777777" w:rsidR="00C55B8C" w:rsidRDefault="00000000">
            <w:pPr>
              <w:widowControl/>
              <w:jc w:val="center"/>
              <w:rPr>
                <w:rFonts w:ascii="宋体" w:hAnsi="宋体" w:cs="宋体"/>
                <w:kern w:val="0"/>
                <w:szCs w:val="21"/>
              </w:rPr>
            </w:pPr>
            <w:r>
              <w:rPr>
                <w:rFonts w:ascii="宋体" w:hAnsi="宋体" w:cs="宋体" w:hint="eastAsia"/>
                <w:kern w:val="0"/>
                <w:szCs w:val="21"/>
              </w:rPr>
              <w:t>10</w:t>
            </w:r>
          </w:p>
        </w:tc>
      </w:tr>
    </w:tbl>
    <w:p w14:paraId="64552115" w14:textId="77777777" w:rsidR="00C55B8C" w:rsidRDefault="00000000">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（二）评分说明</w:t>
      </w:r>
    </w:p>
    <w:p w14:paraId="30E3060F" w14:textId="77777777" w:rsidR="00C55B8C" w:rsidRDefault="00000000">
      <w:pPr>
        <w:adjustRightInd w:val="0"/>
        <w:snapToGrid w:val="0"/>
        <w:spacing w:line="360" w:lineRule="auto"/>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1.  招标文件要求提交的与评价指标体系相关的各类有效资料，投标人如未按要求提</w:t>
      </w:r>
      <w:r>
        <w:rPr>
          <w:rFonts w:asciiTheme="majorEastAsia" w:eastAsiaTheme="majorEastAsia" w:hAnsiTheme="majorEastAsia" w:hint="eastAsia"/>
          <w:sz w:val="24"/>
          <w:szCs w:val="24"/>
        </w:rPr>
        <w:lastRenderedPageBreak/>
        <w:t>交的，该项评分为零分。</w:t>
      </w:r>
    </w:p>
    <w:p w14:paraId="106C48B7" w14:textId="77777777" w:rsidR="00C55B8C" w:rsidRDefault="00000000">
      <w:pPr>
        <w:adjustRightInd w:val="0"/>
        <w:snapToGrid w:val="0"/>
        <w:spacing w:line="360" w:lineRule="auto"/>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2.  所有评委评分分值的算术平均值（四舍五入后，小数点后保留两位有效数）。</w:t>
      </w:r>
    </w:p>
    <w:p w14:paraId="252E5119" w14:textId="77777777" w:rsidR="00C55B8C" w:rsidRDefault="00000000">
      <w:pPr>
        <w:adjustRightInd w:val="0"/>
        <w:snapToGrid w:val="0"/>
        <w:spacing w:line="360" w:lineRule="auto"/>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五、报价评分公式</w:t>
      </w:r>
    </w:p>
    <w:p w14:paraId="7CEA03E5" w14:textId="77777777" w:rsidR="00C55B8C" w:rsidRDefault="00000000">
      <w:pPr>
        <w:adjustRightInd w:val="0"/>
        <w:snapToGrid w:val="0"/>
        <w:spacing w:line="360" w:lineRule="auto"/>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1.  综合评分法中的价格分统一采用低价优先法计算，即投标价格最低的有效投标人报价为评标基准价，其价格分为满分（30分）。其他投标人的价格分统一按照下列公式计算：</w:t>
      </w:r>
    </w:p>
    <w:p w14:paraId="38A463E6" w14:textId="77777777" w:rsidR="00C55B8C" w:rsidRDefault="00000000">
      <w:pPr>
        <w:adjustRightInd w:val="0"/>
        <w:snapToGrid w:val="0"/>
        <w:spacing w:line="360" w:lineRule="auto"/>
        <w:ind w:leftChars="200" w:left="420"/>
        <w:rPr>
          <w:rFonts w:asciiTheme="majorEastAsia" w:eastAsiaTheme="majorEastAsia" w:hAnsiTheme="majorEastAsia"/>
          <w:b/>
          <w:sz w:val="24"/>
          <w:szCs w:val="24"/>
        </w:rPr>
      </w:pPr>
      <w:r>
        <w:rPr>
          <w:rFonts w:asciiTheme="majorEastAsia" w:eastAsiaTheme="majorEastAsia" w:hAnsiTheme="majorEastAsia" w:hint="eastAsia"/>
          <w:b/>
          <w:sz w:val="24"/>
          <w:szCs w:val="24"/>
        </w:rPr>
        <w:t>其他经报价评审的投标报价得分＝（评标基准价/该投标人经报价评审的投标报价）*30%*100。</w:t>
      </w:r>
    </w:p>
    <w:p w14:paraId="15994433" w14:textId="77777777" w:rsidR="00C55B8C" w:rsidRDefault="00000000">
      <w:pPr>
        <w:adjustRightInd w:val="0"/>
        <w:snapToGrid w:val="0"/>
        <w:spacing w:line="360" w:lineRule="auto"/>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2.  投标报价得分四舍五入后，小数点后保留两位有效数。</w:t>
      </w:r>
    </w:p>
    <w:p w14:paraId="33DA239B" w14:textId="77777777" w:rsidR="00C55B8C" w:rsidRDefault="00C55B8C"/>
    <w:sectPr w:rsidR="00C55B8C">
      <w:footerReference w:type="default" r:id="rId6"/>
      <w:pgSz w:w="11906" w:h="16838"/>
      <w:pgMar w:top="1702" w:right="1558" w:bottom="993" w:left="1560" w:header="851" w:footer="24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9C5C" w14:textId="77777777" w:rsidR="00143FFA" w:rsidRDefault="00143FFA">
      <w:r>
        <w:separator/>
      </w:r>
    </w:p>
  </w:endnote>
  <w:endnote w:type="continuationSeparator" w:id="0">
    <w:p w14:paraId="56E9F169" w14:textId="77777777" w:rsidR="00143FFA" w:rsidRDefault="0014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24087"/>
    </w:sdtPr>
    <w:sdtContent>
      <w:sdt>
        <w:sdtPr>
          <w:id w:val="-1669238322"/>
        </w:sdtPr>
        <w:sdtContent>
          <w:p w14:paraId="45891D03" w14:textId="77777777" w:rsidR="00C55B8C"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2AD6C1" w14:textId="77777777" w:rsidR="00C55B8C" w:rsidRDefault="00C55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3515" w14:textId="77777777" w:rsidR="00143FFA" w:rsidRDefault="00143FFA">
      <w:r>
        <w:separator/>
      </w:r>
    </w:p>
  </w:footnote>
  <w:footnote w:type="continuationSeparator" w:id="0">
    <w:p w14:paraId="62B14B57" w14:textId="77777777" w:rsidR="00143FFA" w:rsidRDefault="00143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3YWNjNWQ4ZmFkMjcxNDU0ZGRjZjFkMGM5N2ViNjQifQ=="/>
  </w:docVars>
  <w:rsids>
    <w:rsidRoot w:val="78510736"/>
    <w:rsid w:val="00057124"/>
    <w:rsid w:val="000F7701"/>
    <w:rsid w:val="00103517"/>
    <w:rsid w:val="00132FC5"/>
    <w:rsid w:val="00143FFA"/>
    <w:rsid w:val="00690713"/>
    <w:rsid w:val="0075456E"/>
    <w:rsid w:val="007D7422"/>
    <w:rsid w:val="009D7298"/>
    <w:rsid w:val="00A260C1"/>
    <w:rsid w:val="00BB69B9"/>
    <w:rsid w:val="00C20D60"/>
    <w:rsid w:val="00C55B8C"/>
    <w:rsid w:val="00C732D7"/>
    <w:rsid w:val="00DC0225"/>
    <w:rsid w:val="04DB688F"/>
    <w:rsid w:val="150F0466"/>
    <w:rsid w:val="18C91456"/>
    <w:rsid w:val="1BD37BC7"/>
    <w:rsid w:val="1EFC3C1A"/>
    <w:rsid w:val="2F1C48E7"/>
    <w:rsid w:val="4BEE0F77"/>
    <w:rsid w:val="53D72FAD"/>
    <w:rsid w:val="54C93514"/>
    <w:rsid w:val="550E11EB"/>
    <w:rsid w:val="564F2794"/>
    <w:rsid w:val="620F3388"/>
    <w:rsid w:val="67E47547"/>
    <w:rsid w:val="68B50E54"/>
    <w:rsid w:val="6989480B"/>
    <w:rsid w:val="6FA83AAB"/>
    <w:rsid w:val="755F6967"/>
    <w:rsid w:val="78510736"/>
    <w:rsid w:val="78723DC1"/>
    <w:rsid w:val="7ECA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8F911"/>
  <w15:docId w15:val="{C5BEBACF-1300-4951-BA4F-1E61F7E5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Normal (Web)"/>
    <w:basedOn w:val="a"/>
    <w:semiHidden/>
    <w:unhideWhenUsed/>
    <w:qFormat/>
    <w:pPr>
      <w:spacing w:beforeAutospacing="1" w:afterAutospacing="1"/>
      <w:jc w:val="left"/>
    </w:pPr>
    <w:rPr>
      <w:rFonts w:cs="Times New Roman"/>
      <w:kern w:val="0"/>
      <w:sz w:val="24"/>
    </w:rPr>
  </w:style>
  <w:style w:type="character" w:styleId="a7">
    <w:name w:val="Strong"/>
    <w:basedOn w:val="a0"/>
    <w:qFormat/>
    <w:rPr>
      <w:b/>
      <w:bCs/>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sdpt</dc:creator>
  <cp:lastModifiedBy>Administrator</cp:lastModifiedBy>
  <cp:revision>8</cp:revision>
  <dcterms:created xsi:type="dcterms:W3CDTF">2021-01-13T00:53:00Z</dcterms:created>
  <dcterms:modified xsi:type="dcterms:W3CDTF">2022-08-31T06:31:00Z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31A89F4B149D475CB5FD7C3ABD3EB5E3</vt:lpwstr>
  </property>
</Properties>
</file>