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E8102B">
      <w:pPr>
        <w:spacing w:line="600" w:lineRule="exact"/>
        <w:jc w:val="center"/>
        <w:rPr>
          <w:rFonts w:hint="default" w:ascii="宋体" w:hAnsi="宋体" w:eastAsia="宋体"/>
          <w:b/>
          <w:color w:val="000000"/>
          <w:sz w:val="36"/>
          <w:szCs w:val="36"/>
          <w:lang w:val="en-US" w:eastAsia="zh-Hans"/>
        </w:rPr>
      </w:pPr>
      <w:r>
        <w:rPr>
          <w:rFonts w:hint="eastAsia" w:ascii="宋体" w:hAnsi="宋体"/>
          <w:b/>
          <w:color w:val="000000"/>
          <w:sz w:val="36"/>
          <w:szCs w:val="36"/>
          <w:lang w:val="en-US" w:eastAsia="zh-Hans"/>
        </w:rPr>
        <w:t>项目需求</w:t>
      </w:r>
    </w:p>
    <w:p w14:paraId="2D723F9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Style w:val="9"/>
          <w:rFonts w:hint="eastAsia" w:ascii="宋体" w:hAnsi="宋体" w:eastAsia="宋体" w:cs="宋体"/>
          <w:b w:val="0"/>
          <w:sz w:val="24"/>
          <w:szCs w:val="24"/>
          <w:highlight w:val="none"/>
          <w:lang w:val="en-US" w:eastAsia="zh-CN"/>
        </w:rPr>
      </w:pPr>
      <w:r>
        <w:rPr>
          <w:rFonts w:hint="eastAsia" w:ascii="宋体" w:hAnsi="宋体"/>
          <w:b/>
          <w:sz w:val="24"/>
          <w:highlight w:val="none"/>
          <w:lang w:val="en-US" w:eastAsia="zh-CN"/>
        </w:rPr>
        <w:t>一、</w:t>
      </w:r>
      <w:r>
        <w:rPr>
          <w:rFonts w:hint="eastAsia" w:ascii="宋体" w:hAnsi="宋体"/>
          <w:b/>
          <w:sz w:val="24"/>
          <w:highlight w:val="none"/>
        </w:rPr>
        <w:t>项目</w:t>
      </w:r>
      <w:r>
        <w:rPr>
          <w:rFonts w:hint="eastAsia" w:ascii="宋体" w:hAnsi="宋体"/>
          <w:b/>
          <w:sz w:val="24"/>
          <w:highlight w:val="none"/>
          <w:lang w:eastAsia="zh-CN"/>
        </w:rPr>
        <w:t>概况</w:t>
      </w:r>
      <w:r>
        <w:rPr>
          <w:rFonts w:hint="eastAsia" w:ascii="宋体" w:hAnsi="宋体"/>
          <w:b/>
          <w:sz w:val="24"/>
          <w:highlight w:val="none"/>
        </w:rPr>
        <w:t>：</w:t>
      </w:r>
    </w:p>
    <w:p w14:paraId="374445E1">
      <w:pPr>
        <w:keepNext w:val="0"/>
        <w:keepLines w:val="0"/>
        <w:pageBreakBefore w:val="0"/>
        <w:widowControl/>
        <w:numPr>
          <w:ilvl w:val="0"/>
          <w:numId w:val="0"/>
        </w:numPr>
        <w:tabs>
          <w:tab w:val="left" w:pos="425"/>
        </w:tabs>
        <w:kinsoku/>
        <w:wordWrap/>
        <w:overflowPunct/>
        <w:topLinePunct w:val="0"/>
        <w:autoSpaceDE/>
        <w:autoSpaceDN/>
        <w:bidi w:val="0"/>
        <w:adjustRightInd/>
        <w:snapToGrid/>
        <w:spacing w:line="360" w:lineRule="exact"/>
        <w:ind w:leftChars="0" w:firstLine="480" w:firstLineChars="200"/>
        <w:textAlignment w:val="auto"/>
        <w:rPr>
          <w:rStyle w:val="9"/>
          <w:rFonts w:hint="eastAsia" w:ascii="宋体" w:hAnsi="宋体" w:eastAsia="宋体" w:cs="宋体"/>
          <w:b w:val="0"/>
          <w:sz w:val="24"/>
          <w:szCs w:val="24"/>
          <w:highlight w:val="none"/>
          <w:lang w:val="en-US" w:eastAsia="zh-CN"/>
        </w:rPr>
      </w:pPr>
      <w:r>
        <w:rPr>
          <w:rStyle w:val="9"/>
          <w:rFonts w:hint="eastAsia" w:ascii="宋体" w:hAnsi="宋体" w:eastAsia="宋体" w:cs="宋体"/>
          <w:b w:val="0"/>
          <w:sz w:val="24"/>
          <w:szCs w:val="24"/>
          <w:highlight w:val="none"/>
          <w:lang w:val="en-US" w:eastAsia="zh-Hans"/>
        </w:rPr>
        <w:t>本项目为</w:t>
      </w:r>
      <w:r>
        <w:rPr>
          <w:rStyle w:val="9"/>
          <w:rFonts w:hint="eastAsia" w:ascii="宋体" w:hAnsi="宋体" w:eastAsia="宋体" w:cs="宋体"/>
          <w:b w:val="0"/>
          <w:sz w:val="24"/>
          <w:szCs w:val="24"/>
          <w:highlight w:val="none"/>
          <w:lang w:val="en-US" w:eastAsia="zh-CN"/>
        </w:rPr>
        <w:t>苏州科技城</w:t>
      </w:r>
      <w:r>
        <w:rPr>
          <w:rStyle w:val="9"/>
          <w:rFonts w:hint="eastAsia" w:ascii="宋体" w:hAnsi="宋体" w:eastAsia="宋体" w:cs="宋体"/>
          <w:b w:val="0"/>
          <w:sz w:val="24"/>
          <w:szCs w:val="24"/>
          <w:highlight w:val="none"/>
          <w:lang w:val="en-US" w:eastAsia="zh-Hans"/>
        </w:rPr>
        <w:t>医院营养</w:t>
      </w:r>
      <w:r>
        <w:rPr>
          <w:rStyle w:val="9"/>
          <w:rFonts w:hint="eastAsia" w:ascii="宋体" w:hAnsi="宋体" w:eastAsia="宋体" w:cs="宋体"/>
          <w:b w:val="0"/>
          <w:sz w:val="24"/>
          <w:szCs w:val="24"/>
          <w:highlight w:val="none"/>
          <w:lang w:val="en-US" w:eastAsia="zh-CN"/>
        </w:rPr>
        <w:t>科</w:t>
      </w:r>
      <w:r>
        <w:rPr>
          <w:rStyle w:val="9"/>
          <w:rFonts w:hint="eastAsia" w:ascii="宋体" w:hAnsi="宋体" w:eastAsia="宋体" w:cs="宋体"/>
          <w:b w:val="0"/>
          <w:sz w:val="24"/>
          <w:szCs w:val="24"/>
          <w:highlight w:val="none"/>
          <w:lang w:val="en-US" w:eastAsia="zh-Hans"/>
        </w:rPr>
        <w:t>管理信息化建设项目</w:t>
      </w:r>
      <w:r>
        <w:rPr>
          <w:rStyle w:val="9"/>
          <w:rFonts w:hint="eastAsia" w:ascii="宋体" w:hAnsi="宋体" w:cs="宋体"/>
          <w:b w:val="0"/>
          <w:sz w:val="24"/>
          <w:szCs w:val="24"/>
          <w:highlight w:val="none"/>
          <w:lang w:val="en-US" w:eastAsia="zh-CN"/>
        </w:rPr>
        <w:t>；</w:t>
      </w:r>
    </w:p>
    <w:p w14:paraId="2AFF6CE3">
      <w:pPr>
        <w:pStyle w:val="6"/>
        <w:ind w:firstLine="480" w:firstLineChars="200"/>
        <w:rPr>
          <w:rFonts w:hint="eastAsia" w:ascii="仿宋" w:hAnsi="仿宋" w:eastAsia="仿宋" w:cs="仿宋"/>
          <w:sz w:val="24"/>
          <w:szCs w:val="24"/>
          <w:highlight w:val="none"/>
          <w:lang w:val="en-US" w:eastAsia="zh-CN"/>
        </w:rPr>
      </w:pPr>
      <w:r>
        <w:rPr>
          <w:rStyle w:val="9"/>
          <w:rFonts w:hint="eastAsia" w:ascii="宋体" w:hAnsi="宋体" w:eastAsia="宋体" w:cs="宋体"/>
          <w:b w:val="0"/>
          <w:color w:val="auto"/>
          <w:kern w:val="2"/>
          <w:sz w:val="24"/>
          <w:szCs w:val="24"/>
          <w:highlight w:val="none"/>
          <w:lang w:val="en-US" w:eastAsia="zh-CN" w:bidi="ar-SA"/>
        </w:rPr>
        <w:t>建设工期：60个工作日</w:t>
      </w:r>
    </w:p>
    <w:p w14:paraId="4BBC1D84">
      <w:pPr>
        <w:spacing w:line="360" w:lineRule="exact"/>
        <w:rPr>
          <w:rFonts w:ascii="宋体" w:hAnsi="宋体"/>
          <w:b/>
          <w:sz w:val="24"/>
          <w:highlight w:val="none"/>
        </w:rPr>
      </w:pPr>
      <w:r>
        <w:rPr>
          <w:rFonts w:hint="eastAsia" w:ascii="宋体" w:hAnsi="宋体"/>
          <w:b/>
          <w:sz w:val="24"/>
          <w:highlight w:val="none"/>
        </w:rPr>
        <w:t>二、</w:t>
      </w:r>
      <w:r>
        <w:rPr>
          <w:rFonts w:hint="eastAsia" w:ascii="宋体" w:hAnsi="宋体"/>
          <w:b/>
          <w:sz w:val="24"/>
          <w:highlight w:val="none"/>
          <w:lang w:val="en-US" w:eastAsia="zh-CN"/>
        </w:rPr>
        <w:t>功能范围</w:t>
      </w:r>
      <w:r>
        <w:rPr>
          <w:rFonts w:hint="eastAsia" w:ascii="宋体" w:hAnsi="宋体"/>
          <w:b/>
          <w:sz w:val="24"/>
          <w:highlight w:val="none"/>
        </w:rPr>
        <w:t>：</w:t>
      </w:r>
    </w:p>
    <w:p w14:paraId="065CD73D">
      <w:pPr>
        <w:keepNext w:val="0"/>
        <w:keepLines w:val="0"/>
        <w:pageBreakBefore w:val="0"/>
        <w:widowControl/>
        <w:numPr>
          <w:ilvl w:val="0"/>
          <w:numId w:val="0"/>
        </w:numPr>
        <w:tabs>
          <w:tab w:val="left" w:pos="425"/>
        </w:tabs>
        <w:kinsoku/>
        <w:wordWrap/>
        <w:overflowPunct/>
        <w:topLinePunct w:val="0"/>
        <w:autoSpaceDE/>
        <w:autoSpaceDN/>
        <w:bidi w:val="0"/>
        <w:adjustRightInd/>
        <w:snapToGrid/>
        <w:spacing w:line="360" w:lineRule="auto"/>
        <w:ind w:firstLine="480" w:firstLineChars="200"/>
        <w:textAlignment w:val="auto"/>
        <w:rPr>
          <w:rStyle w:val="9"/>
          <w:rFonts w:hint="default" w:ascii="宋体" w:hAnsi="宋体" w:eastAsia="宋体" w:cs="宋体"/>
          <w:b w:val="0"/>
          <w:sz w:val="24"/>
          <w:szCs w:val="24"/>
          <w:highlight w:val="none"/>
          <w:lang w:val="en-US" w:eastAsia="zh-CN"/>
        </w:rPr>
      </w:pPr>
      <w:r>
        <w:rPr>
          <w:rStyle w:val="9"/>
          <w:rFonts w:hint="eastAsia" w:ascii="宋体" w:hAnsi="宋体" w:eastAsia="宋体" w:cs="宋体"/>
          <w:b w:val="0"/>
          <w:sz w:val="24"/>
          <w:szCs w:val="24"/>
          <w:highlight w:val="none"/>
          <w:lang w:val="en-US" w:eastAsia="zh-CN"/>
        </w:rPr>
        <w:t>住院营养服务、门诊以及住院特医管理服务、营养库房管理服务、系统基础数据服务</w:t>
      </w:r>
      <w:r>
        <w:rPr>
          <w:rStyle w:val="9"/>
          <w:rFonts w:hint="eastAsia" w:ascii="宋体" w:hAnsi="宋体" w:cs="宋体"/>
          <w:b w:val="0"/>
          <w:sz w:val="24"/>
          <w:szCs w:val="24"/>
          <w:highlight w:val="none"/>
          <w:lang w:val="en-US" w:eastAsia="zh-CN"/>
        </w:rPr>
        <w:t>、</w:t>
      </w:r>
      <w:r>
        <w:rPr>
          <w:rStyle w:val="9"/>
          <w:rFonts w:hint="eastAsia" w:ascii="宋体" w:hAnsi="宋体" w:eastAsia="宋体" w:cs="宋体"/>
          <w:b w:val="0"/>
          <w:sz w:val="24"/>
          <w:szCs w:val="24"/>
          <w:highlight w:val="none"/>
          <w:lang w:val="en-US" w:eastAsia="zh-CN"/>
        </w:rPr>
        <w:t>账户管理服务、营养统计服务</w:t>
      </w:r>
    </w:p>
    <w:p w14:paraId="76438691">
      <w:pPr>
        <w:spacing w:line="360" w:lineRule="exact"/>
        <w:rPr>
          <w:rFonts w:hint="eastAsia" w:ascii="宋体" w:hAnsi="宋体" w:eastAsia="宋体"/>
          <w:b/>
          <w:sz w:val="24"/>
          <w:highlight w:val="none"/>
        </w:rPr>
      </w:pPr>
      <w:r>
        <w:rPr>
          <w:rFonts w:hint="eastAsia" w:ascii="宋体" w:hAnsi="宋体" w:eastAsia="宋体"/>
          <w:b/>
          <w:sz w:val="24"/>
          <w:highlight w:val="none"/>
          <w:lang w:val="en-US" w:eastAsia="zh-Hans"/>
        </w:rPr>
        <w:t>三</w:t>
      </w:r>
      <w:r>
        <w:rPr>
          <w:rFonts w:hint="default" w:ascii="宋体" w:hAnsi="宋体" w:eastAsia="宋体"/>
          <w:b/>
          <w:sz w:val="24"/>
          <w:highlight w:val="none"/>
          <w:lang w:eastAsia="zh-Hans"/>
        </w:rPr>
        <w:t>、</w:t>
      </w:r>
      <w:r>
        <w:rPr>
          <w:rFonts w:hint="eastAsia" w:ascii="宋体" w:hAnsi="宋体" w:eastAsia="宋体"/>
          <w:b/>
          <w:sz w:val="24"/>
          <w:highlight w:val="none"/>
        </w:rPr>
        <w:t>功能</w:t>
      </w:r>
      <w:r>
        <w:rPr>
          <w:rFonts w:hint="eastAsia" w:ascii="宋体" w:hAnsi="宋体"/>
          <w:b/>
          <w:sz w:val="24"/>
          <w:highlight w:val="none"/>
          <w:lang w:val="en-US" w:eastAsia="zh-CN"/>
        </w:rPr>
        <w:t>参数</w:t>
      </w:r>
      <w:r>
        <w:rPr>
          <w:rFonts w:hint="eastAsia" w:ascii="宋体" w:hAnsi="宋体" w:eastAsia="宋体"/>
          <w:b/>
          <w:sz w:val="24"/>
          <w:highlight w:val="none"/>
        </w:rPr>
        <w:t>：</w:t>
      </w:r>
    </w:p>
    <w:p w14:paraId="4A693FAA">
      <w:pPr>
        <w:widowControl/>
        <w:rPr>
          <w:rFonts w:ascii="宋体" w:hAnsi="宋体" w:eastAsia="宋体" w:cs="Times New Roman"/>
          <w:vanish/>
          <w:sz w:val="21"/>
          <w:szCs w:val="21"/>
          <w:lang w:val="en-US" w:eastAsia="zh-CN" w:bidi="ar-SA"/>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2"/>
        <w:gridCol w:w="839"/>
        <w:gridCol w:w="1154"/>
        <w:gridCol w:w="5521"/>
      </w:tblGrid>
      <w:tr w14:paraId="35A2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493" w:type="pct"/>
            <w:shd w:val="clear" w:color="auto" w:fill="00B0F0"/>
            <w:vAlign w:val="center"/>
          </w:tcPr>
          <w:p w14:paraId="2C0F3BE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服务模块</w:t>
            </w:r>
          </w:p>
        </w:tc>
        <w:tc>
          <w:tcPr>
            <w:tcW w:w="503" w:type="pct"/>
            <w:shd w:val="clear" w:color="auto" w:fill="00B0F0"/>
            <w:vAlign w:val="center"/>
          </w:tcPr>
          <w:p w14:paraId="7085E61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功能菜单</w:t>
            </w:r>
          </w:p>
        </w:tc>
        <w:tc>
          <w:tcPr>
            <w:tcW w:w="692" w:type="pct"/>
            <w:shd w:val="clear" w:color="auto" w:fill="00B0F0"/>
            <w:vAlign w:val="center"/>
          </w:tcPr>
          <w:p w14:paraId="5339931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功能说明</w:t>
            </w:r>
          </w:p>
        </w:tc>
        <w:tc>
          <w:tcPr>
            <w:tcW w:w="3310" w:type="pct"/>
            <w:shd w:val="clear" w:color="auto" w:fill="00B0F0"/>
            <w:vAlign w:val="center"/>
          </w:tcPr>
          <w:p w14:paraId="5811C6C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描述</w:t>
            </w:r>
          </w:p>
        </w:tc>
      </w:tr>
      <w:tr w14:paraId="4303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restart"/>
            <w:shd w:val="clear" w:color="auto" w:fill="auto"/>
            <w:vAlign w:val="center"/>
          </w:tcPr>
          <w:p w14:paraId="0400E5A5">
            <w:pPr>
              <w:widowControl/>
              <w:spacing w:after="200"/>
              <w:jc w:val="center"/>
              <w:rPr>
                <w:rFonts w:hint="eastAsia" w:ascii="宋体" w:hAnsi="宋体" w:eastAsia="宋体" w:cs="宋体"/>
                <w:color w:val="auto"/>
                <w:sz w:val="21"/>
                <w:szCs w:val="21"/>
                <w:lang w:val="en-US" w:eastAsia="zh-CN" w:bidi="ar-SA"/>
              </w:rPr>
            </w:pPr>
          </w:p>
          <w:p w14:paraId="67877146">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住</w:t>
            </w:r>
          </w:p>
          <w:p w14:paraId="081E9EF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院</w:t>
            </w:r>
          </w:p>
          <w:p w14:paraId="12C5F50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w:t>
            </w:r>
          </w:p>
          <w:p w14:paraId="0DBA90D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养</w:t>
            </w:r>
          </w:p>
          <w:p w14:paraId="3171983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w:t>
            </w:r>
          </w:p>
          <w:p w14:paraId="623034A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务</w:t>
            </w:r>
          </w:p>
          <w:p w14:paraId="21772B66">
            <w:pPr>
              <w:spacing w:after="200"/>
              <w:jc w:val="center"/>
              <w:rPr>
                <w:rFonts w:hint="eastAsia" w:ascii="宋体" w:hAnsi="宋体" w:eastAsia="宋体" w:cs="宋体"/>
                <w:sz w:val="21"/>
                <w:szCs w:val="21"/>
                <w:lang w:val="en-US" w:eastAsia="zh-CN" w:bidi="ar-SA"/>
              </w:rPr>
            </w:pPr>
          </w:p>
        </w:tc>
        <w:tc>
          <w:tcPr>
            <w:tcW w:w="503" w:type="pct"/>
            <w:shd w:val="clear" w:color="auto" w:fill="auto"/>
            <w:vAlign w:val="center"/>
          </w:tcPr>
          <w:p w14:paraId="4AA5EFAE">
            <w:pPr>
              <w:widowControl/>
              <w:spacing w:after="20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工作台</w:t>
            </w:r>
          </w:p>
        </w:tc>
        <w:tc>
          <w:tcPr>
            <w:tcW w:w="692" w:type="pct"/>
            <w:shd w:val="clear" w:color="auto" w:fill="auto"/>
            <w:vAlign w:val="center"/>
          </w:tcPr>
          <w:p w14:paraId="7D316648">
            <w:pPr>
              <w:widowControl/>
              <w:spacing w:after="20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数据展示</w:t>
            </w:r>
          </w:p>
        </w:tc>
        <w:tc>
          <w:tcPr>
            <w:tcW w:w="3310" w:type="pct"/>
            <w:shd w:val="clear" w:color="auto" w:fill="auto"/>
            <w:vAlign w:val="center"/>
          </w:tcPr>
          <w:p w14:paraId="483304E6">
            <w:pPr>
              <w:widowControl/>
              <w:spacing w:after="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工作台首页支持展示营养科关注的常用数据：全院营养情况概况、上月全员科室筛查排名、近三月质控数据、营养科相关待办事项。</w:t>
            </w:r>
          </w:p>
        </w:tc>
      </w:tr>
      <w:tr w14:paraId="464E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10426A4">
            <w:pPr>
              <w:widowControl/>
              <w:spacing w:after="200"/>
              <w:jc w:val="center"/>
              <w:rPr>
                <w:rFonts w:hint="eastAsia" w:ascii="宋体" w:hAnsi="宋体" w:eastAsia="宋体" w:cs="宋体"/>
                <w:color w:val="auto"/>
                <w:sz w:val="21"/>
                <w:szCs w:val="21"/>
                <w:lang w:val="en-US" w:eastAsia="zh-CN" w:bidi="ar-SA"/>
              </w:rPr>
            </w:pPr>
          </w:p>
        </w:tc>
        <w:tc>
          <w:tcPr>
            <w:tcW w:w="503" w:type="pct"/>
            <w:vMerge w:val="restart"/>
            <w:vAlign w:val="center"/>
          </w:tcPr>
          <w:p w14:paraId="2323F78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临床营养嵌入页</w:t>
            </w:r>
          </w:p>
        </w:tc>
        <w:tc>
          <w:tcPr>
            <w:tcW w:w="692" w:type="pct"/>
            <w:vAlign w:val="center"/>
          </w:tcPr>
          <w:p w14:paraId="134EB86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待筛查</w:t>
            </w:r>
          </w:p>
        </w:tc>
        <w:tc>
          <w:tcPr>
            <w:tcW w:w="3310" w:type="pct"/>
            <w:vAlign w:val="center"/>
          </w:tcPr>
          <w:p w14:paraId="3430349E">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待筛查列表可自动识别本病区未筛查和需复筛的患者，并生成待筛查记录提醒筛查，并可进行筛查操作，完成筛查后立即消失。筛查时系统提供符合相应人群的筛查表供选择。1个月～2岁患者自动匹配STRONGkids，2岁～18岁患者提供STRONGkids和STAMP</w:t>
            </w:r>
            <w:bookmarkStart w:id="0" w:name="_GoBack"/>
            <w:bookmarkEnd w:id="0"/>
            <w:r>
              <w:rPr>
                <w:rFonts w:hint="eastAsia" w:ascii="宋体" w:hAnsi="宋体" w:eastAsia="宋体" w:cs="宋体"/>
                <w:sz w:val="21"/>
                <w:szCs w:val="21"/>
                <w:lang w:val="en-US" w:eastAsia="zh-CN" w:bidi="ar-SA"/>
              </w:rPr>
              <w:t>供选用，18～65岁患者自动匹配NRS2002筛查量表。</w:t>
            </w:r>
          </w:p>
        </w:tc>
      </w:tr>
      <w:tr w14:paraId="16ED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2674CAE0">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A561179">
            <w:pPr>
              <w:widowControl/>
              <w:jc w:val="center"/>
              <w:rPr>
                <w:rFonts w:hint="eastAsia" w:ascii="宋体" w:hAnsi="宋体" w:eastAsia="宋体" w:cs="宋体"/>
                <w:color w:val="auto"/>
                <w:sz w:val="21"/>
                <w:szCs w:val="21"/>
                <w:lang w:val="en-US" w:eastAsia="zh-CN" w:bidi="ar-SA"/>
              </w:rPr>
            </w:pPr>
          </w:p>
        </w:tc>
        <w:tc>
          <w:tcPr>
            <w:tcW w:w="692" w:type="pct"/>
            <w:vAlign w:val="center"/>
          </w:tcPr>
          <w:p w14:paraId="327E834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待评估</w:t>
            </w:r>
          </w:p>
        </w:tc>
        <w:tc>
          <w:tcPr>
            <w:tcW w:w="3310" w:type="pct"/>
            <w:vAlign w:val="center"/>
          </w:tcPr>
          <w:p w14:paraId="6FB7C1B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待评估可自动识别本病区有风险未评估患者，并生成待评估记录提醒评估，完成评估后自动消失。提供全面评估模版、PG-SGA、GLIM、SGA等多种营养评估量表。</w:t>
            </w:r>
          </w:p>
        </w:tc>
      </w:tr>
      <w:tr w14:paraId="51D5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71AE2D85">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4A5D5C1E">
            <w:pPr>
              <w:widowControl/>
              <w:jc w:val="center"/>
              <w:rPr>
                <w:rFonts w:hint="eastAsia" w:ascii="宋体" w:hAnsi="宋体" w:eastAsia="宋体" w:cs="宋体"/>
                <w:color w:val="auto"/>
                <w:sz w:val="21"/>
                <w:szCs w:val="21"/>
                <w:lang w:val="en-US" w:eastAsia="zh-CN" w:bidi="ar-SA"/>
              </w:rPr>
            </w:pPr>
          </w:p>
        </w:tc>
        <w:tc>
          <w:tcPr>
            <w:tcW w:w="692" w:type="pct"/>
            <w:vAlign w:val="center"/>
          </w:tcPr>
          <w:p w14:paraId="314FA1B6">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在院/出院患者</w:t>
            </w:r>
          </w:p>
        </w:tc>
        <w:tc>
          <w:tcPr>
            <w:tcW w:w="3310" w:type="pct"/>
            <w:vAlign w:val="center"/>
          </w:tcPr>
          <w:p w14:paraId="39A1E4C7">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在院患者显示本病区全部在院患者，出院患者显示从本病区出院的所有患者。供临床查看本病区患者的营养诊疗记录，并进行筛查、评估等操作。</w:t>
            </w:r>
          </w:p>
        </w:tc>
      </w:tr>
      <w:tr w14:paraId="41F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2CD67F52">
            <w:pPr>
              <w:widowControl/>
              <w:jc w:val="center"/>
              <w:rPr>
                <w:rFonts w:hint="eastAsia" w:ascii="宋体" w:hAnsi="宋体" w:eastAsia="宋体" w:cs="宋体"/>
                <w:color w:val="auto"/>
                <w:sz w:val="21"/>
                <w:szCs w:val="21"/>
                <w:lang w:val="en-US" w:eastAsia="zh-CN" w:bidi="ar-SA"/>
              </w:rPr>
            </w:pPr>
          </w:p>
        </w:tc>
        <w:tc>
          <w:tcPr>
            <w:tcW w:w="503" w:type="pct"/>
            <w:vMerge w:val="restart"/>
            <w:vAlign w:val="center"/>
          </w:tcPr>
          <w:p w14:paraId="1FF9AD4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在院列表</w:t>
            </w:r>
          </w:p>
        </w:tc>
        <w:tc>
          <w:tcPr>
            <w:tcW w:w="692" w:type="pct"/>
            <w:vAlign w:val="center"/>
          </w:tcPr>
          <w:p w14:paraId="38A5F97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同步在院患者</w:t>
            </w:r>
          </w:p>
        </w:tc>
        <w:tc>
          <w:tcPr>
            <w:tcW w:w="3310" w:type="pct"/>
            <w:vAlign w:val="center"/>
          </w:tcPr>
          <w:p w14:paraId="54B14297">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1）从his获取当前在院患者信息并按病区展示在列表中支持列表和卡片两种展示方式；</w:t>
            </w:r>
          </w:p>
          <w:p w14:paraId="5216B899">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2）支持根据每个用户的责任范围选择只显示责任病区的患者；</w:t>
            </w:r>
          </w:p>
          <w:p w14:paraId="6823FC6E">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3）可以对患者诊疗状态进行标注，包含筛查状态、是否评估、是否干预、是否治疗、是否会诊、是否监管、预出院状态等。</w:t>
            </w:r>
          </w:p>
        </w:tc>
      </w:tr>
      <w:tr w14:paraId="2BE2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76821720">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23489608">
            <w:pPr>
              <w:widowControl/>
              <w:jc w:val="center"/>
              <w:rPr>
                <w:rFonts w:hint="eastAsia" w:ascii="宋体" w:hAnsi="宋体" w:eastAsia="宋体" w:cs="宋体"/>
                <w:color w:val="auto"/>
                <w:sz w:val="21"/>
                <w:szCs w:val="21"/>
                <w:lang w:val="en-US" w:eastAsia="zh-CN" w:bidi="ar-SA"/>
              </w:rPr>
            </w:pPr>
          </w:p>
        </w:tc>
        <w:tc>
          <w:tcPr>
            <w:tcW w:w="692" w:type="pct"/>
            <w:vAlign w:val="center"/>
          </w:tcPr>
          <w:p w14:paraId="37FC223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诊疗操作</w:t>
            </w:r>
          </w:p>
        </w:tc>
        <w:tc>
          <w:tcPr>
            <w:tcW w:w="3310" w:type="pct"/>
            <w:vAlign w:val="center"/>
          </w:tcPr>
          <w:p w14:paraId="6AE5C42A">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可对查看患者信息、营养诊疗、医嘱开立、食谱制定和病历打印操作。</w:t>
            </w:r>
          </w:p>
          <w:p w14:paraId="0F4DA88E">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患者信息包括患者当前的基本信息和包括历史医嘱、营养记录、入院记录、生化数据和影像数据在内容营养档案，可查看历史生化指标趋势图、体格趋势图、每日医嘱能量摄入趋势图，并支持历史数据导出。还可对接his360患者全息数据供营养医生查看更全面的数据；可查看所有营养诊疗记录。</w:t>
            </w:r>
          </w:p>
          <w:p w14:paraId="1DB27C0D">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营养诊疗操作包括营养筛查、评估诊断、营养干预和营养监测。</w:t>
            </w:r>
          </w:p>
        </w:tc>
      </w:tr>
      <w:tr w14:paraId="417C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BD14070">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635A89EF">
            <w:pPr>
              <w:widowControl/>
              <w:jc w:val="center"/>
              <w:rPr>
                <w:rFonts w:hint="eastAsia" w:ascii="宋体" w:hAnsi="宋体" w:eastAsia="宋体" w:cs="宋体"/>
                <w:color w:val="auto"/>
                <w:sz w:val="21"/>
                <w:szCs w:val="21"/>
                <w:lang w:val="en-US" w:eastAsia="zh-CN" w:bidi="ar-SA"/>
              </w:rPr>
            </w:pPr>
          </w:p>
        </w:tc>
        <w:tc>
          <w:tcPr>
            <w:tcW w:w="692" w:type="pct"/>
            <w:vAlign w:val="center"/>
          </w:tcPr>
          <w:p w14:paraId="2F1414F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营养筛查</w:t>
            </w:r>
          </w:p>
        </w:tc>
        <w:tc>
          <w:tcPr>
            <w:tcW w:w="3310" w:type="pct"/>
            <w:vAlign w:val="center"/>
          </w:tcPr>
          <w:p w14:paraId="5E4A2945">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提供适合成人的NRS2002筛查表和适合儿童的STAMP/STRONGkids筛查表，其中STAMP支持生长评价的自动计算。还可以提供筛查页嵌入服务，将营养筛查嵌入his或护理系统供临床或护士调用，嵌入页中可对需要筛查和复查的患者自动生成待筛查，确保不会漏筛查，并可随时查看历史筛查记录。</w:t>
            </w:r>
          </w:p>
        </w:tc>
      </w:tr>
      <w:tr w14:paraId="1464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493" w:type="pct"/>
            <w:vMerge w:val="continue"/>
            <w:vAlign w:val="center"/>
          </w:tcPr>
          <w:p w14:paraId="75FFB6D9">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71FF3FB1">
            <w:pPr>
              <w:widowControl/>
              <w:jc w:val="center"/>
              <w:rPr>
                <w:rFonts w:hint="eastAsia" w:ascii="宋体" w:hAnsi="宋体" w:eastAsia="宋体" w:cs="宋体"/>
                <w:color w:val="auto"/>
                <w:sz w:val="21"/>
                <w:szCs w:val="21"/>
                <w:lang w:val="en-US" w:eastAsia="zh-CN" w:bidi="ar-SA"/>
              </w:rPr>
            </w:pPr>
          </w:p>
        </w:tc>
        <w:tc>
          <w:tcPr>
            <w:tcW w:w="692" w:type="pct"/>
            <w:vAlign w:val="center"/>
          </w:tcPr>
          <w:p w14:paraId="0BB888B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评估诊断</w:t>
            </w:r>
          </w:p>
        </w:tc>
        <w:tc>
          <w:tcPr>
            <w:tcW w:w="3310" w:type="pct"/>
            <w:vAlign w:val="center"/>
          </w:tcPr>
          <w:p w14:paraId="44E7496E">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提供完整的评估模板，包含疾病描述、摄入评估、消化道评估、体格评估、运动评估、生化检查、筛查与评定。</w:t>
            </w:r>
          </w:p>
          <w:p w14:paraId="7F1DC77E">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1）其中疾病描述用于填写患者的病情记录；</w:t>
            </w:r>
          </w:p>
          <w:p w14:paraId="7AC51FCE">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摄入评估中可以对患者的肠内、肠外和膳食摄入情况进行综合评估，并可以结合营养素推荐量进行对比，分析饮食结构的合理性，其中膳食摄入中提供交换份评估法和食物评估法两种方法供营养医生选择使用；</w:t>
            </w:r>
          </w:p>
          <w:p w14:paraId="4E1FE1ED">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3）消化道评估可以记录患者的肠胃情况；</w:t>
            </w:r>
          </w:p>
          <w:p w14:paraId="65ACAAB7">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4）体格评估中可以填写患者体格的测量数据；</w:t>
            </w:r>
          </w:p>
          <w:p w14:paraId="66AE0A93">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5）运动评估可以记录患者的活动情况，并计算大致的能量消耗；</w:t>
            </w:r>
          </w:p>
          <w:p w14:paraId="6E7B52B8">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6）生化检验中可以增加患者现有生化报告中的任何指标，添加后会自动关注这些指标，用于后续营养监测时患者恢复情况的及时监控；</w:t>
            </w:r>
          </w:p>
          <w:p w14:paraId="35B4DC72">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7）营养筛查与评定中，营养医生可以按需添加合适的患者的筛查和评估量表，包含 NRS2002、STAMP、STRONGkids、NUTRIC、MNA、MNA-SF、MUST、PYMS、SGA、PG-SGA、GLIM、BCA、简易肠胃评估表、RS风险评估、AGI评估等；有评估模块均可灵活选择，按需取用，添加后会将内容以文本形式填充到对应评估下。</w:t>
            </w:r>
          </w:p>
          <w:p w14:paraId="0515039D">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8）完成评估后可选择或填写营养诊断。</w:t>
            </w:r>
          </w:p>
        </w:tc>
      </w:tr>
      <w:tr w14:paraId="286C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68102F55">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AEBB184">
            <w:pPr>
              <w:widowControl/>
              <w:jc w:val="center"/>
              <w:rPr>
                <w:rFonts w:hint="eastAsia" w:ascii="宋体" w:hAnsi="宋体" w:eastAsia="宋体" w:cs="宋体"/>
                <w:color w:val="auto"/>
                <w:sz w:val="21"/>
                <w:szCs w:val="21"/>
                <w:lang w:val="en-US" w:eastAsia="zh-CN" w:bidi="ar-SA"/>
              </w:rPr>
            </w:pPr>
          </w:p>
        </w:tc>
        <w:tc>
          <w:tcPr>
            <w:tcW w:w="692" w:type="pct"/>
            <w:vAlign w:val="center"/>
          </w:tcPr>
          <w:p w14:paraId="13DF1BC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营养干预</w:t>
            </w:r>
          </w:p>
        </w:tc>
        <w:tc>
          <w:tcPr>
            <w:tcW w:w="3310" w:type="pct"/>
            <w:vAlign w:val="center"/>
          </w:tcPr>
          <w:p w14:paraId="437880DE">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根据应诊断结果选择干预方案，干预时可以根据患者营养情况选择营养宣教和治疗方案两种方式。</w:t>
            </w:r>
          </w:p>
          <w:p w14:paraId="4500D75D">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1）营养宣教可根据疾病添加宣教模版，也可以直接输入宣教内容；</w:t>
            </w:r>
          </w:p>
          <w:p w14:paraId="55C828CA">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2）营养方案可以选择膳食、肠内和肠外治疗途径；开制定方案时，系统会自动计算当前进行中的营养治疗医嘱的营养素数据，防止多开重开；制定肠外方案时，还支持肠外相关指标的计算比如热氮比、阳离子浓度、渗透压等10余种指标；肠内肠外方案中还支持添加医嘱组套；肠内还支持制剂的添加和组成内容的自定义修改；完成方案制定后，生成医嘱的同时也会将医嘱内容以文字的形式显示在干预记录中。</w:t>
            </w:r>
          </w:p>
          <w:p w14:paraId="48B98FD2">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3）制定干预目标：选择关注的生化指标设置干预的目标值，完成设置后在后续的营养监测中同步展示目标结果。</w:t>
            </w:r>
          </w:p>
          <w:p w14:paraId="2BB1AAC5">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4）如果需要对患者随访监测，可以制定监测计划。提示方案时，可以按需求选择是否将肠内方案生成为医嘱。</w:t>
            </w:r>
          </w:p>
        </w:tc>
      </w:tr>
      <w:tr w14:paraId="194D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ECAD2B0">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5E4910E6">
            <w:pPr>
              <w:widowControl/>
              <w:jc w:val="center"/>
              <w:rPr>
                <w:rFonts w:hint="eastAsia" w:ascii="宋体" w:hAnsi="宋体" w:eastAsia="宋体" w:cs="宋体"/>
                <w:color w:val="auto"/>
                <w:sz w:val="21"/>
                <w:szCs w:val="21"/>
                <w:lang w:val="en-US" w:eastAsia="zh-CN" w:bidi="ar-SA"/>
              </w:rPr>
            </w:pPr>
          </w:p>
        </w:tc>
        <w:tc>
          <w:tcPr>
            <w:tcW w:w="692" w:type="pct"/>
            <w:vAlign w:val="center"/>
          </w:tcPr>
          <w:p w14:paraId="0C505F7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营养监测</w:t>
            </w:r>
          </w:p>
        </w:tc>
        <w:tc>
          <w:tcPr>
            <w:tcW w:w="3310" w:type="pct"/>
            <w:vAlign w:val="center"/>
          </w:tcPr>
          <w:p w14:paraId="045B8CA5">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制定监测计划的患者可以进行监测操作，监测时可自动同步患者正在进行中的医嘱，查看已关注的生化的最新值和变化趋势图，更新体格指标并查看变化趋势，了解并记录患者的实际摄入量以及肠胃情况，并以此判断是否需要继续或变更营养治疗方案，若需要变更可重新制定医嘱方案；完成后还可以根据患者情况判断是否继续监测。</w:t>
            </w:r>
          </w:p>
        </w:tc>
      </w:tr>
      <w:tr w14:paraId="0351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77DA7314">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63B00602">
            <w:pPr>
              <w:widowControl/>
              <w:jc w:val="center"/>
              <w:rPr>
                <w:rFonts w:hint="eastAsia" w:ascii="宋体" w:hAnsi="宋体" w:eastAsia="宋体" w:cs="宋体"/>
                <w:color w:val="auto"/>
                <w:sz w:val="21"/>
                <w:szCs w:val="21"/>
                <w:lang w:val="en-US" w:eastAsia="zh-CN" w:bidi="ar-SA"/>
              </w:rPr>
            </w:pPr>
          </w:p>
        </w:tc>
        <w:tc>
          <w:tcPr>
            <w:tcW w:w="692" w:type="pct"/>
            <w:vAlign w:val="center"/>
          </w:tcPr>
          <w:p w14:paraId="16DCDBF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营养素推荐</w:t>
            </w:r>
          </w:p>
        </w:tc>
        <w:tc>
          <w:tcPr>
            <w:tcW w:w="3310" w:type="pct"/>
            <w:vAlign w:val="center"/>
          </w:tcPr>
          <w:p w14:paraId="676846F5">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营养素推荐小工具的形式显示在任何需要计算营养成分值的地方，比如摄入评估、制定治疗方案、开立医嘱和制定食谱时展示和调用。</w:t>
            </w:r>
          </w:p>
          <w:p w14:paraId="6C1A933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营养系统默认会根据患者的特点及一些基础数据，使用 2023 版 BMR 公式和 DRIs推进行自动推荐。</w:t>
            </w:r>
          </w:p>
        </w:tc>
      </w:tr>
      <w:tr w14:paraId="219F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627EDA41">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2CA2D706">
            <w:pPr>
              <w:widowControl/>
              <w:jc w:val="center"/>
              <w:rPr>
                <w:rFonts w:hint="eastAsia" w:ascii="宋体" w:hAnsi="宋体" w:eastAsia="宋体" w:cs="宋体"/>
                <w:color w:val="auto"/>
                <w:sz w:val="21"/>
                <w:szCs w:val="21"/>
                <w:lang w:val="en-US" w:eastAsia="zh-CN" w:bidi="ar-SA"/>
              </w:rPr>
            </w:pPr>
          </w:p>
        </w:tc>
        <w:tc>
          <w:tcPr>
            <w:tcW w:w="692" w:type="pct"/>
            <w:vAlign w:val="center"/>
          </w:tcPr>
          <w:p w14:paraId="6F46F07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营养医嘱</w:t>
            </w:r>
          </w:p>
        </w:tc>
        <w:tc>
          <w:tcPr>
            <w:tcW w:w="3310" w:type="pct"/>
            <w:vAlign w:val="center"/>
          </w:tcPr>
          <w:p w14:paraId="6BD7BCE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显示患者所有营养相关医嘱，包括在营养系统开立的肠内特医医嘱，在HIS系统开立的肠内、肠外、膳食医嘱。根据当前进行中的医嘱自动记录患者当前摄入总量。</w:t>
            </w:r>
          </w:p>
          <w:p w14:paraId="7285FA1B">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可进行肠内医嘱开立；可开立长期或临时医嘱；支持制剂和成品医嘱开立，支持个性化肠内医嘱开立。开立时自动计算医嘱营养素摄入量，并综合当前已有医嘱计算日总摄入量，防止多开重复开。</w:t>
            </w:r>
          </w:p>
          <w:p w14:paraId="63E3B5B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可提供医嘱开立嵌入页供临床开立。可将其中营养科在干预时制定肠内方案直接生成为医嘱；可以对在本系统内开立的医嘱进行提交、停止或作废操作。长期医嘱可支持定时停止医嘱。</w:t>
            </w:r>
          </w:p>
        </w:tc>
      </w:tr>
      <w:tr w14:paraId="3461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9A03C81">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3CE329E7">
            <w:pPr>
              <w:widowControl/>
              <w:jc w:val="center"/>
              <w:rPr>
                <w:rFonts w:hint="eastAsia" w:ascii="宋体" w:hAnsi="宋体" w:eastAsia="宋体" w:cs="宋体"/>
                <w:color w:val="auto"/>
                <w:sz w:val="21"/>
                <w:szCs w:val="21"/>
                <w:lang w:val="en-US" w:eastAsia="zh-CN" w:bidi="ar-SA"/>
              </w:rPr>
            </w:pPr>
          </w:p>
        </w:tc>
        <w:tc>
          <w:tcPr>
            <w:tcW w:w="692" w:type="pct"/>
            <w:vAlign w:val="center"/>
          </w:tcPr>
          <w:p w14:paraId="2027505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食谱定制</w:t>
            </w:r>
          </w:p>
        </w:tc>
        <w:tc>
          <w:tcPr>
            <w:tcW w:w="3310" w:type="pct"/>
            <w:vAlign w:val="center"/>
          </w:tcPr>
          <w:p w14:paraId="4A4EEB6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户定制患者的营养食谱；支持交换份和营养食谱两种形式。交换份支持根据营养素推荐量自动生成，并提供标准交换份对照表，可打印。营养食谱制定制定多日食谱，并提供专业的食物库、菜谱库和食谱库等基础数据；支持食谱打印。</w:t>
            </w:r>
          </w:p>
        </w:tc>
      </w:tr>
      <w:tr w14:paraId="29F5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0C9397E4">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992DD59">
            <w:pPr>
              <w:widowControl/>
              <w:jc w:val="center"/>
              <w:rPr>
                <w:rFonts w:hint="eastAsia" w:ascii="宋体" w:hAnsi="宋体" w:eastAsia="宋体" w:cs="宋体"/>
                <w:color w:val="auto"/>
                <w:sz w:val="21"/>
                <w:szCs w:val="21"/>
                <w:lang w:val="en-US" w:eastAsia="zh-CN" w:bidi="ar-SA"/>
              </w:rPr>
            </w:pPr>
          </w:p>
        </w:tc>
        <w:tc>
          <w:tcPr>
            <w:tcW w:w="692" w:type="pct"/>
            <w:vAlign w:val="center"/>
          </w:tcPr>
          <w:p w14:paraId="1AE678D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病历打印</w:t>
            </w:r>
          </w:p>
        </w:tc>
        <w:tc>
          <w:tcPr>
            <w:tcW w:w="3310" w:type="pct"/>
            <w:vAlign w:val="center"/>
          </w:tcPr>
          <w:p w14:paraId="1DAFA15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包含病历首页、首次营养病程和病程记录三部分，支持选择已完成的筛查、评估诊断、干预记录生成为营养病历，支持打印。</w:t>
            </w:r>
          </w:p>
        </w:tc>
      </w:tr>
      <w:tr w14:paraId="32FD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78687B1">
            <w:pPr>
              <w:widowControl/>
              <w:jc w:val="center"/>
              <w:rPr>
                <w:rFonts w:hint="eastAsia" w:ascii="宋体" w:hAnsi="宋体" w:eastAsia="宋体" w:cs="宋体"/>
                <w:color w:val="auto"/>
                <w:sz w:val="21"/>
                <w:szCs w:val="21"/>
                <w:lang w:val="en-US" w:eastAsia="zh-CN" w:bidi="ar-SA"/>
              </w:rPr>
            </w:pPr>
          </w:p>
        </w:tc>
        <w:tc>
          <w:tcPr>
            <w:tcW w:w="503" w:type="pct"/>
            <w:vAlign w:val="center"/>
          </w:tcPr>
          <w:p w14:paraId="6A67200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出院列表</w:t>
            </w:r>
          </w:p>
        </w:tc>
        <w:tc>
          <w:tcPr>
            <w:tcW w:w="692" w:type="pct"/>
            <w:vAlign w:val="center"/>
          </w:tcPr>
          <w:p w14:paraId="5136E4B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同步出院患者</w:t>
            </w:r>
          </w:p>
        </w:tc>
        <w:tc>
          <w:tcPr>
            <w:tcW w:w="3310" w:type="pct"/>
            <w:vAlign w:val="center"/>
          </w:tcPr>
          <w:p w14:paraId="7119DDAF">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查看已出院患者的基本信息和营养治疗记录。</w:t>
            </w:r>
          </w:p>
        </w:tc>
      </w:tr>
      <w:tr w14:paraId="3B3B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B441281">
            <w:pPr>
              <w:widowControl/>
              <w:jc w:val="center"/>
              <w:rPr>
                <w:rFonts w:hint="eastAsia" w:ascii="宋体" w:hAnsi="宋体" w:eastAsia="宋体" w:cs="宋体"/>
                <w:color w:val="auto"/>
                <w:sz w:val="21"/>
                <w:szCs w:val="21"/>
                <w:lang w:val="en-US" w:eastAsia="zh-CN" w:bidi="ar-SA"/>
              </w:rPr>
            </w:pPr>
          </w:p>
        </w:tc>
        <w:tc>
          <w:tcPr>
            <w:tcW w:w="503" w:type="pct"/>
            <w:vMerge w:val="restart"/>
            <w:vAlign w:val="center"/>
          </w:tcPr>
          <w:p w14:paraId="55A7B9F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会诊列表</w:t>
            </w:r>
          </w:p>
        </w:tc>
        <w:tc>
          <w:tcPr>
            <w:tcW w:w="692" w:type="pct"/>
            <w:vAlign w:val="center"/>
          </w:tcPr>
          <w:p w14:paraId="426A3C6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同步会诊患者</w:t>
            </w:r>
          </w:p>
        </w:tc>
        <w:tc>
          <w:tcPr>
            <w:tcW w:w="3310" w:type="pct"/>
            <w:vAlign w:val="center"/>
          </w:tcPr>
          <w:p w14:paraId="76353388">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与his的会诊进行对接，对会诊科室为营养科的会诊申请进行及时抓取，并在会诊列表中显示。</w:t>
            </w:r>
          </w:p>
        </w:tc>
      </w:tr>
      <w:tr w14:paraId="1CDC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0E05AB93">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7E289DBF">
            <w:pPr>
              <w:widowControl/>
              <w:jc w:val="center"/>
              <w:rPr>
                <w:rFonts w:hint="eastAsia" w:ascii="宋体" w:hAnsi="宋体" w:eastAsia="宋体" w:cs="宋体"/>
                <w:color w:val="auto"/>
                <w:sz w:val="21"/>
                <w:szCs w:val="21"/>
                <w:lang w:val="en-US" w:eastAsia="zh-CN" w:bidi="ar-SA"/>
              </w:rPr>
            </w:pPr>
          </w:p>
        </w:tc>
        <w:tc>
          <w:tcPr>
            <w:tcW w:w="692" w:type="pct"/>
            <w:vAlign w:val="center"/>
          </w:tcPr>
          <w:p w14:paraId="3B2491F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营养会诊</w:t>
            </w:r>
          </w:p>
        </w:tc>
        <w:tc>
          <w:tcPr>
            <w:tcW w:w="3310" w:type="pct"/>
            <w:vAlign w:val="center"/>
          </w:tcPr>
          <w:p w14:paraId="773DF0B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1）会诊时，系统会提供专业的会诊模板，覆盖营养评估、营养诊断和会诊建议三部分内容；其中营养评估部分包含疾病描述、摄入评估、消化道评估、体格评估、运动评估、生化检验、筛查与评定，医生可根据患者情况灵活组合和使用。</w:t>
            </w:r>
          </w:p>
          <w:p w14:paraId="11883C38">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2）完成评估后，营养医生可以根据评估结果下营养诊断，并制定干预方案。</w:t>
            </w:r>
          </w:p>
          <w:p w14:paraId="5228588F">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3）干预时可以根据患者营养情况选择营养宣教和营养方案两种方式。</w:t>
            </w:r>
          </w:p>
          <w:p w14:paraId="63D63856">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4）方案完成后可制定干预目标：选择关注的生化指标设置干预的目标值，完成设置后在后续的营养监测中同步展示目标结果。完成干预后，如果需要对患者随访监测，可以制定监测计划。</w:t>
            </w:r>
          </w:p>
        </w:tc>
      </w:tr>
      <w:tr w14:paraId="6A9E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21519AF">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2B0B3B2A">
            <w:pPr>
              <w:widowControl/>
              <w:jc w:val="center"/>
              <w:rPr>
                <w:rFonts w:hint="eastAsia" w:ascii="宋体" w:hAnsi="宋体" w:eastAsia="宋体" w:cs="宋体"/>
                <w:color w:val="auto"/>
                <w:sz w:val="21"/>
                <w:szCs w:val="21"/>
                <w:lang w:val="en-US" w:eastAsia="zh-CN" w:bidi="ar-SA"/>
              </w:rPr>
            </w:pPr>
          </w:p>
        </w:tc>
        <w:tc>
          <w:tcPr>
            <w:tcW w:w="692" w:type="pct"/>
            <w:vAlign w:val="center"/>
          </w:tcPr>
          <w:p w14:paraId="68123E5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会诊结果</w:t>
            </w:r>
          </w:p>
        </w:tc>
        <w:tc>
          <w:tcPr>
            <w:tcW w:w="3310" w:type="pct"/>
            <w:vAlign w:val="center"/>
          </w:tcPr>
          <w:p w14:paraId="5414BD0E">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根据会诊模板自动生成符合规范的会诊结果，可以一键复制。若 HIS 支持回传，则可以将会诊结果直接回传给his会诊系统。</w:t>
            </w:r>
          </w:p>
        </w:tc>
      </w:tr>
      <w:tr w14:paraId="09F8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3C25C47F">
            <w:pPr>
              <w:widowControl/>
              <w:jc w:val="center"/>
              <w:rPr>
                <w:rFonts w:hint="eastAsia" w:ascii="宋体" w:hAnsi="宋体" w:eastAsia="宋体" w:cs="宋体"/>
                <w:color w:val="auto"/>
                <w:sz w:val="21"/>
                <w:szCs w:val="21"/>
                <w:lang w:val="en-US" w:eastAsia="zh-CN" w:bidi="ar-SA"/>
              </w:rPr>
            </w:pPr>
          </w:p>
        </w:tc>
        <w:tc>
          <w:tcPr>
            <w:tcW w:w="503" w:type="pct"/>
            <w:vMerge w:val="restart"/>
            <w:vAlign w:val="center"/>
          </w:tcPr>
          <w:p w14:paraId="32D7D0F5">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营养监测</w:t>
            </w:r>
          </w:p>
        </w:tc>
        <w:tc>
          <w:tcPr>
            <w:tcW w:w="692" w:type="pct"/>
            <w:vAlign w:val="center"/>
          </w:tcPr>
          <w:p w14:paraId="733BF42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汇总监测患者</w:t>
            </w:r>
          </w:p>
        </w:tc>
        <w:tc>
          <w:tcPr>
            <w:tcW w:w="3310" w:type="pct"/>
            <w:vAlign w:val="center"/>
          </w:tcPr>
          <w:p w14:paraId="4CD51FE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设置监测计划的患者会统一显示在监测列表中，可根据监测状态了解哪些患者需要按计划进行监测，同时监测列表中也会展示关注指标最新值，便于医生快速判断哪些患者需要立即监测。</w:t>
            </w:r>
          </w:p>
        </w:tc>
      </w:tr>
      <w:tr w14:paraId="6ED1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A736C0C">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79D062C">
            <w:pPr>
              <w:widowControl/>
              <w:jc w:val="center"/>
              <w:rPr>
                <w:rFonts w:hint="eastAsia" w:ascii="宋体" w:hAnsi="宋体" w:eastAsia="宋体" w:cs="宋体"/>
                <w:color w:val="auto"/>
                <w:sz w:val="21"/>
                <w:szCs w:val="21"/>
                <w:lang w:val="en-US" w:eastAsia="zh-CN" w:bidi="ar-SA"/>
              </w:rPr>
            </w:pPr>
          </w:p>
        </w:tc>
        <w:tc>
          <w:tcPr>
            <w:tcW w:w="692" w:type="pct"/>
            <w:vAlign w:val="center"/>
          </w:tcPr>
          <w:p w14:paraId="1904C03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营养监测</w:t>
            </w:r>
          </w:p>
        </w:tc>
        <w:tc>
          <w:tcPr>
            <w:tcW w:w="3310" w:type="pct"/>
            <w:vAlign w:val="center"/>
          </w:tcPr>
          <w:p w14:paraId="0846E4DC">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对需要监测的患者进行营养监测操作，对患者当前情况进行估计和记录，并决定是否需要继续干预并制定下一步方案。</w:t>
            </w:r>
          </w:p>
        </w:tc>
      </w:tr>
      <w:tr w14:paraId="46FA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A5993CE">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09F76E7">
            <w:pPr>
              <w:widowControl/>
              <w:jc w:val="center"/>
              <w:rPr>
                <w:rFonts w:hint="eastAsia" w:ascii="宋体" w:hAnsi="宋体" w:eastAsia="宋体" w:cs="宋体"/>
                <w:color w:val="auto"/>
                <w:sz w:val="21"/>
                <w:szCs w:val="21"/>
                <w:lang w:val="en-US" w:eastAsia="zh-CN" w:bidi="ar-SA"/>
              </w:rPr>
            </w:pPr>
          </w:p>
        </w:tc>
        <w:tc>
          <w:tcPr>
            <w:tcW w:w="692" w:type="pct"/>
            <w:vAlign w:val="center"/>
          </w:tcPr>
          <w:p w14:paraId="1261B3A5">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监测记录</w:t>
            </w:r>
          </w:p>
        </w:tc>
        <w:tc>
          <w:tcPr>
            <w:tcW w:w="3310" w:type="pct"/>
            <w:vAlign w:val="center"/>
          </w:tcPr>
          <w:p w14:paraId="1F8F8E65">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汇总每次营养监测操作的记录，可在记录中继续编辑保存的查房记录和查看已提交的记录。</w:t>
            </w:r>
          </w:p>
        </w:tc>
      </w:tr>
      <w:tr w14:paraId="6B63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820D87D">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23E98D2B">
            <w:pPr>
              <w:widowControl/>
              <w:jc w:val="center"/>
              <w:rPr>
                <w:rFonts w:hint="eastAsia" w:ascii="宋体" w:hAnsi="宋体" w:eastAsia="宋体" w:cs="宋体"/>
                <w:color w:val="auto"/>
                <w:sz w:val="21"/>
                <w:szCs w:val="21"/>
                <w:lang w:val="en-US" w:eastAsia="zh-CN" w:bidi="ar-SA"/>
              </w:rPr>
            </w:pPr>
          </w:p>
        </w:tc>
        <w:tc>
          <w:tcPr>
            <w:tcW w:w="692" w:type="pct"/>
            <w:vAlign w:val="center"/>
          </w:tcPr>
          <w:p w14:paraId="575E8FE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历史监测</w:t>
            </w:r>
          </w:p>
        </w:tc>
        <w:tc>
          <w:tcPr>
            <w:tcW w:w="3310" w:type="pct"/>
            <w:vAlign w:val="center"/>
          </w:tcPr>
          <w:p w14:paraId="6F865FB1">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汇总所有已结束监测的患者，并可以对比查看同一患者本次监测周期的过程的指标变化。</w:t>
            </w:r>
          </w:p>
        </w:tc>
      </w:tr>
      <w:tr w14:paraId="6C16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C599C84">
            <w:pPr>
              <w:widowControl/>
              <w:jc w:val="center"/>
              <w:rPr>
                <w:rFonts w:hint="eastAsia" w:ascii="宋体" w:hAnsi="宋体" w:eastAsia="宋体" w:cs="宋体"/>
                <w:color w:val="auto"/>
                <w:sz w:val="21"/>
                <w:szCs w:val="21"/>
                <w:lang w:val="en-US" w:eastAsia="zh-CN" w:bidi="ar-SA"/>
              </w:rPr>
            </w:pPr>
          </w:p>
        </w:tc>
        <w:tc>
          <w:tcPr>
            <w:tcW w:w="503" w:type="pct"/>
            <w:vMerge w:val="restart"/>
            <w:vAlign w:val="center"/>
          </w:tcPr>
          <w:p w14:paraId="64F4DAB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住院查房</w:t>
            </w:r>
          </w:p>
        </w:tc>
        <w:tc>
          <w:tcPr>
            <w:tcW w:w="692" w:type="pct"/>
            <w:vAlign w:val="center"/>
          </w:tcPr>
          <w:p w14:paraId="4FD0056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查房患者展示</w:t>
            </w:r>
          </w:p>
        </w:tc>
        <w:tc>
          <w:tcPr>
            <w:tcW w:w="3310" w:type="pct"/>
            <w:vAlign w:val="center"/>
          </w:tcPr>
          <w:p w14:paraId="60D9692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选择需要查房的病区，并按床号顺序展示病区患者信息。</w:t>
            </w:r>
          </w:p>
        </w:tc>
      </w:tr>
      <w:tr w14:paraId="7968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3E8052DF">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2E2AADC3">
            <w:pPr>
              <w:widowControl/>
              <w:jc w:val="center"/>
              <w:rPr>
                <w:rFonts w:hint="eastAsia" w:ascii="宋体" w:hAnsi="宋体" w:eastAsia="宋体" w:cs="宋体"/>
                <w:color w:val="auto"/>
                <w:sz w:val="21"/>
                <w:szCs w:val="21"/>
                <w:lang w:val="en-US" w:eastAsia="zh-CN" w:bidi="ar-SA"/>
              </w:rPr>
            </w:pPr>
          </w:p>
        </w:tc>
        <w:tc>
          <w:tcPr>
            <w:tcW w:w="692" w:type="pct"/>
            <w:vAlign w:val="center"/>
          </w:tcPr>
          <w:p w14:paraId="1FBB78B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查房</w:t>
            </w:r>
          </w:p>
        </w:tc>
        <w:tc>
          <w:tcPr>
            <w:tcW w:w="3310" w:type="pct"/>
            <w:vAlign w:val="center"/>
          </w:tcPr>
          <w:p w14:paraId="2DF95EAA">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记录查房时收集的患者营养问题和查房记录，若发现风险患者可以直接进行进一步的评估诊断。支持一键快捷查房，根据患者情况自动生成查房结果。</w:t>
            </w:r>
          </w:p>
        </w:tc>
      </w:tr>
      <w:tr w14:paraId="3A97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17831F9E">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5061D6F6">
            <w:pPr>
              <w:widowControl/>
              <w:jc w:val="center"/>
              <w:rPr>
                <w:rFonts w:hint="eastAsia" w:ascii="宋体" w:hAnsi="宋体" w:eastAsia="宋体" w:cs="宋体"/>
                <w:color w:val="auto"/>
                <w:sz w:val="21"/>
                <w:szCs w:val="21"/>
                <w:lang w:val="en-US" w:eastAsia="zh-CN" w:bidi="ar-SA"/>
              </w:rPr>
            </w:pPr>
          </w:p>
        </w:tc>
        <w:tc>
          <w:tcPr>
            <w:tcW w:w="692" w:type="pct"/>
            <w:vAlign w:val="center"/>
          </w:tcPr>
          <w:p w14:paraId="150BAC1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查房记录</w:t>
            </w:r>
          </w:p>
        </w:tc>
        <w:tc>
          <w:tcPr>
            <w:tcW w:w="3310" w:type="pct"/>
            <w:vAlign w:val="center"/>
          </w:tcPr>
          <w:p w14:paraId="0CD67FB0">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显示每次查房的记录，可在记录中继续编辑保存的查房记录和查看已提交的记录。</w:t>
            </w:r>
          </w:p>
        </w:tc>
      </w:tr>
      <w:tr w14:paraId="4562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668B6460">
            <w:pPr>
              <w:widowControl/>
              <w:jc w:val="center"/>
              <w:rPr>
                <w:rFonts w:hint="eastAsia" w:ascii="宋体" w:hAnsi="宋体" w:eastAsia="宋体" w:cs="宋体"/>
                <w:color w:val="auto"/>
                <w:sz w:val="21"/>
                <w:szCs w:val="21"/>
                <w:lang w:val="en-US" w:eastAsia="zh-CN" w:bidi="ar-SA"/>
              </w:rPr>
            </w:pPr>
          </w:p>
        </w:tc>
        <w:tc>
          <w:tcPr>
            <w:tcW w:w="503" w:type="pct"/>
            <w:vAlign w:val="center"/>
          </w:tcPr>
          <w:p w14:paraId="2F86A7D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诊疗明细</w:t>
            </w:r>
          </w:p>
        </w:tc>
        <w:tc>
          <w:tcPr>
            <w:tcW w:w="692" w:type="pct"/>
            <w:vAlign w:val="center"/>
          </w:tcPr>
          <w:p w14:paraId="7A18EA8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所有患者患者的诊疗状态</w:t>
            </w:r>
          </w:p>
        </w:tc>
        <w:tc>
          <w:tcPr>
            <w:tcW w:w="3310" w:type="pct"/>
            <w:vAlign w:val="center"/>
          </w:tcPr>
          <w:p w14:paraId="3DAE427F">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显示所有住院患者的治疗状态，包含是否筛查、是否风险、是否评估、是否营养诊断、是否营养治疗、是否糖尿病患者等等。可按入院日期或出院日期查询，可仅显示在院患者。支持数据导出。</w:t>
            </w:r>
          </w:p>
        </w:tc>
      </w:tr>
      <w:tr w14:paraId="5FEF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restart"/>
            <w:vAlign w:val="center"/>
          </w:tcPr>
          <w:p w14:paraId="3019427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特</w:t>
            </w:r>
          </w:p>
          <w:p w14:paraId="2094A6D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w:t>
            </w:r>
          </w:p>
          <w:p w14:paraId="0DD6DAF1">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管</w:t>
            </w:r>
          </w:p>
          <w:p w14:paraId="5A9EE9E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理</w:t>
            </w:r>
          </w:p>
          <w:p w14:paraId="74D8254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w:t>
            </w:r>
          </w:p>
          <w:p w14:paraId="618674E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务</w:t>
            </w:r>
          </w:p>
          <w:p w14:paraId="4792687C">
            <w:pPr>
              <w:widowControl/>
              <w:spacing w:after="200"/>
              <w:jc w:val="center"/>
              <w:rPr>
                <w:rFonts w:hint="eastAsia" w:ascii="宋体" w:hAnsi="宋体" w:eastAsia="宋体" w:cs="宋体"/>
                <w:color w:val="auto"/>
                <w:sz w:val="21"/>
                <w:szCs w:val="21"/>
                <w:lang w:val="en-US" w:eastAsia="zh-CN" w:bidi="ar-SA"/>
              </w:rPr>
            </w:pPr>
          </w:p>
        </w:tc>
        <w:tc>
          <w:tcPr>
            <w:tcW w:w="503" w:type="pct"/>
            <w:vMerge w:val="restart"/>
            <w:vAlign w:val="center"/>
          </w:tcPr>
          <w:p w14:paraId="459D772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医嘱执行</w:t>
            </w:r>
          </w:p>
        </w:tc>
        <w:tc>
          <w:tcPr>
            <w:tcW w:w="692" w:type="pct"/>
            <w:vAlign w:val="center"/>
          </w:tcPr>
          <w:p w14:paraId="575DF1D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医嘱执行列表</w:t>
            </w:r>
          </w:p>
        </w:tc>
        <w:tc>
          <w:tcPr>
            <w:tcW w:w="3310" w:type="pct"/>
            <w:vAlign w:val="center"/>
          </w:tcPr>
          <w:p w14:paraId="623A003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展示本系统中开立的医嘱的执行项；可获取his开立的医嘱进行执行操作；可进行医嘱的扣费和执行出库操作。住院医嘱和门诊医嘱在同一界面分开显示。长期医嘱支持按频次每日自动拆分对应餐次，实现按餐配送。医嘱列表可显示筛查状态，是否签订知情同意书；对停止医嘱、超时医嘱、已出院患者可显示对应图标；执行后自动完成出库，并形成出库记录和统计。</w:t>
            </w:r>
          </w:p>
        </w:tc>
      </w:tr>
      <w:tr w14:paraId="51D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0" w:hRule="atLeast"/>
          <w:jc w:val="center"/>
        </w:trPr>
        <w:tc>
          <w:tcPr>
            <w:tcW w:w="493" w:type="pct"/>
            <w:vMerge w:val="continue"/>
            <w:vAlign w:val="center"/>
          </w:tcPr>
          <w:p w14:paraId="3055CAE9">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985F7A5">
            <w:pPr>
              <w:widowControl/>
              <w:jc w:val="center"/>
              <w:rPr>
                <w:rFonts w:hint="eastAsia" w:ascii="宋体" w:hAnsi="宋体" w:eastAsia="宋体" w:cs="宋体"/>
                <w:color w:val="auto"/>
                <w:sz w:val="21"/>
                <w:szCs w:val="21"/>
                <w:lang w:val="en-US" w:eastAsia="zh-CN" w:bidi="ar-SA"/>
              </w:rPr>
            </w:pPr>
          </w:p>
        </w:tc>
        <w:tc>
          <w:tcPr>
            <w:tcW w:w="692" w:type="pct"/>
            <w:vAlign w:val="center"/>
          </w:tcPr>
          <w:p w14:paraId="5056ECA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医嘱执行</w:t>
            </w:r>
          </w:p>
        </w:tc>
        <w:tc>
          <w:tcPr>
            <w:tcW w:w="3310" w:type="pct"/>
            <w:vAlign w:val="center"/>
          </w:tcPr>
          <w:p w14:paraId="23653DE6">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1）扣费出库一体化，支持多种扣费模式，可按医院要求选择扣费方案；</w:t>
            </w:r>
          </w:p>
          <w:p w14:paraId="08A8D7D2">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2）支持批量执行；</w:t>
            </w:r>
          </w:p>
          <w:p w14:paraId="00FE9E8E">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3）执行后自动完成出库，并形成出库记录；</w:t>
            </w:r>
          </w:p>
          <w:p w14:paraId="0D3D9692">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4）支持执行时自动打印医嘱标签，执行标签补打，支持按医嘱数量打印多张标签，支持多条医嘱合并为一张标签，</w:t>
            </w:r>
          </w:p>
          <w:p w14:paraId="2A284685">
            <w:pPr>
              <w:widowControl/>
              <w:spacing w:after="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5）支持备货单、配制单、配送单生成和打印。</w:t>
            </w:r>
          </w:p>
          <w:p w14:paraId="6F8E185C">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6）备货单、配送单生成后退费的医嘱，可在打印单中显示退费数量。</w:t>
            </w:r>
          </w:p>
        </w:tc>
      </w:tr>
      <w:tr w14:paraId="12A6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528D7037">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351C4FF6">
            <w:pPr>
              <w:widowControl/>
              <w:jc w:val="center"/>
              <w:rPr>
                <w:rFonts w:hint="eastAsia" w:ascii="宋体" w:hAnsi="宋体" w:eastAsia="宋体" w:cs="宋体"/>
                <w:color w:val="auto"/>
                <w:sz w:val="21"/>
                <w:szCs w:val="21"/>
                <w:lang w:val="en-US" w:eastAsia="zh-CN" w:bidi="ar-SA"/>
              </w:rPr>
            </w:pPr>
          </w:p>
        </w:tc>
        <w:tc>
          <w:tcPr>
            <w:tcW w:w="692" w:type="pct"/>
            <w:vAlign w:val="center"/>
          </w:tcPr>
          <w:p w14:paraId="3695EE7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医嘱配送签收</w:t>
            </w:r>
          </w:p>
          <w:p w14:paraId="29C4933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（移动护理端）</w:t>
            </w:r>
          </w:p>
        </w:tc>
        <w:tc>
          <w:tcPr>
            <w:tcW w:w="3310" w:type="pct"/>
            <w:vAlign w:val="center"/>
          </w:tcPr>
          <w:p w14:paraId="26F0F552">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可对接护理系统端营养医嘱的签收和发放操作，确保流程闭环。若护理无法对医用食品医嘱进行签收和发放，则本系统可提供营养医嘱的签收嵌入页分别嵌在护士站电脑端和移动 app 端，在电脑端可以查看本病区营养医嘱配送进度和发起退费，在 app 端可以进行扫码签收和发放。</w:t>
            </w:r>
          </w:p>
          <w:p w14:paraId="1489E4C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签收时，可逐一扫描医嘱标签二维码进行签收，也可以扫描配送单二维码一键批量签收。</w:t>
            </w:r>
          </w:p>
          <w:p w14:paraId="15BE0589">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发放时需先扫患者腕带，再扫描医嘱标签二维码进行发放。签收成功、失败、发放成功、发放失败、是否全部发放都会有相应的语音提示。</w:t>
            </w:r>
          </w:p>
        </w:tc>
      </w:tr>
      <w:tr w14:paraId="229A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0" w:hRule="atLeast"/>
          <w:jc w:val="center"/>
        </w:trPr>
        <w:tc>
          <w:tcPr>
            <w:tcW w:w="493" w:type="pct"/>
            <w:vMerge w:val="continue"/>
            <w:vAlign w:val="center"/>
          </w:tcPr>
          <w:p w14:paraId="1B58BB2E">
            <w:pPr>
              <w:widowControl/>
              <w:jc w:val="center"/>
              <w:rPr>
                <w:rFonts w:hint="eastAsia" w:ascii="宋体" w:hAnsi="宋体" w:eastAsia="宋体" w:cs="宋体"/>
                <w:color w:val="auto"/>
                <w:sz w:val="21"/>
                <w:szCs w:val="21"/>
                <w:lang w:val="en-US" w:eastAsia="zh-CN" w:bidi="ar-SA"/>
              </w:rPr>
            </w:pPr>
          </w:p>
        </w:tc>
        <w:tc>
          <w:tcPr>
            <w:tcW w:w="503" w:type="pct"/>
            <w:vMerge w:val="continue"/>
            <w:vAlign w:val="center"/>
          </w:tcPr>
          <w:p w14:paraId="1458A698">
            <w:pPr>
              <w:widowControl/>
              <w:jc w:val="center"/>
              <w:rPr>
                <w:rFonts w:hint="eastAsia" w:ascii="宋体" w:hAnsi="宋体" w:eastAsia="宋体" w:cs="宋体"/>
                <w:color w:val="auto"/>
                <w:sz w:val="21"/>
                <w:szCs w:val="21"/>
                <w:lang w:val="en-US" w:eastAsia="zh-CN" w:bidi="ar-SA"/>
              </w:rPr>
            </w:pPr>
          </w:p>
        </w:tc>
        <w:tc>
          <w:tcPr>
            <w:tcW w:w="692" w:type="pct"/>
            <w:vAlign w:val="center"/>
          </w:tcPr>
          <w:p w14:paraId="2E9BDA6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退费</w:t>
            </w:r>
          </w:p>
        </w:tc>
        <w:tc>
          <w:tcPr>
            <w:tcW w:w="3310" w:type="pct"/>
            <w:vAlign w:val="center"/>
          </w:tcPr>
          <w:p w14:paraId="5F104894">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已完收费的医嘱可以进行退费操作；可支持营养科直接退费、临床在 his 发起的退费、临床在营养系统签收嵌入页发起退费。</w:t>
            </w:r>
          </w:p>
          <w:p w14:paraId="2429BAAC">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退费后生成待回收记录。在签收嵌入页发起退费情况下可以限制临床可退的医嘱类型，比如只能退整装类型的医嘱，配制医嘱无法直接退，必须联系营养科退。还可支持对临床退费进行审核，审核通过才能退费。支持多次部分退费。</w:t>
            </w:r>
          </w:p>
        </w:tc>
      </w:tr>
      <w:tr w14:paraId="5EEB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93" w:type="pct"/>
            <w:vMerge w:val="continue"/>
            <w:vAlign w:val="center"/>
          </w:tcPr>
          <w:p w14:paraId="739E82D7">
            <w:pPr>
              <w:widowControl/>
              <w:jc w:val="center"/>
              <w:rPr>
                <w:rFonts w:hint="eastAsia" w:ascii="宋体" w:hAnsi="宋体" w:eastAsia="宋体" w:cs="宋体"/>
                <w:color w:val="auto"/>
                <w:sz w:val="21"/>
                <w:szCs w:val="21"/>
                <w:lang w:val="en-US" w:eastAsia="zh-CN" w:bidi="ar-SA"/>
              </w:rPr>
            </w:pPr>
          </w:p>
        </w:tc>
        <w:tc>
          <w:tcPr>
            <w:tcW w:w="503" w:type="pct"/>
            <w:vAlign w:val="center"/>
          </w:tcPr>
          <w:p w14:paraId="745D8B2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医嘱列表</w:t>
            </w:r>
          </w:p>
        </w:tc>
        <w:tc>
          <w:tcPr>
            <w:tcW w:w="692" w:type="pct"/>
            <w:vAlign w:val="center"/>
          </w:tcPr>
          <w:p w14:paraId="325E466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汇总所有医用食品医嘱</w:t>
            </w:r>
          </w:p>
        </w:tc>
        <w:tc>
          <w:tcPr>
            <w:tcW w:w="3310" w:type="pct"/>
            <w:vAlign w:val="center"/>
          </w:tcPr>
          <w:p w14:paraId="4CDB1E50">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全院患者门诊和住院医用食品医嘱、可按患者、开立时间、医嘱状态等条件进行查询。还可查看每条医嘱的执行详情。若医院存在在his开立文字医嘱，本系统支持对文字医嘱进行二次完善，可由营养医生开立详细的营养方案，再进入执行收费配送流程。</w:t>
            </w:r>
          </w:p>
        </w:tc>
      </w:tr>
      <w:tr w14:paraId="3C07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93" w:type="pct"/>
            <w:vMerge w:val="continue"/>
            <w:vAlign w:val="center"/>
          </w:tcPr>
          <w:p w14:paraId="48A39E27">
            <w:pPr>
              <w:widowControl/>
              <w:jc w:val="center"/>
              <w:rPr>
                <w:rFonts w:hint="eastAsia" w:ascii="宋体" w:hAnsi="宋体" w:eastAsia="宋体" w:cs="宋体"/>
                <w:color w:val="auto"/>
                <w:sz w:val="21"/>
                <w:szCs w:val="21"/>
                <w:lang w:val="en-US" w:eastAsia="zh-CN" w:bidi="ar-SA"/>
              </w:rPr>
            </w:pPr>
          </w:p>
        </w:tc>
        <w:tc>
          <w:tcPr>
            <w:tcW w:w="503" w:type="pct"/>
            <w:vAlign w:val="center"/>
          </w:tcPr>
          <w:p w14:paraId="17C64E5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回收列表</w:t>
            </w:r>
          </w:p>
        </w:tc>
        <w:tc>
          <w:tcPr>
            <w:tcW w:w="692" w:type="pct"/>
            <w:vAlign w:val="center"/>
          </w:tcPr>
          <w:p w14:paraId="3E0374E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医嘱回收</w:t>
            </w:r>
          </w:p>
        </w:tc>
        <w:tc>
          <w:tcPr>
            <w:tcW w:w="3310" w:type="pct"/>
            <w:vAlign w:val="center"/>
          </w:tcPr>
          <w:p w14:paraId="062A9298">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汇总所有退费但未完成回收的医嘱，可进行一键回收，支持打印按病区汇总的回收单，便于前往病区回收。</w:t>
            </w:r>
          </w:p>
        </w:tc>
      </w:tr>
      <w:tr w14:paraId="466A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93" w:type="pct"/>
            <w:vMerge w:val="continue"/>
            <w:vAlign w:val="center"/>
          </w:tcPr>
          <w:p w14:paraId="0A8CC1E0">
            <w:pPr>
              <w:widowControl/>
              <w:jc w:val="center"/>
              <w:rPr>
                <w:rFonts w:hint="eastAsia" w:ascii="宋体" w:hAnsi="宋体" w:eastAsia="宋体" w:cs="宋体"/>
                <w:color w:val="auto"/>
                <w:sz w:val="21"/>
                <w:szCs w:val="21"/>
                <w:lang w:val="en-US" w:eastAsia="zh-CN" w:bidi="ar-SA"/>
              </w:rPr>
            </w:pPr>
          </w:p>
        </w:tc>
        <w:tc>
          <w:tcPr>
            <w:tcW w:w="503" w:type="pct"/>
            <w:vAlign w:val="center"/>
          </w:tcPr>
          <w:p w14:paraId="3794EB0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住院医嘱统计</w:t>
            </w:r>
          </w:p>
        </w:tc>
        <w:tc>
          <w:tcPr>
            <w:tcW w:w="692" w:type="pct"/>
            <w:vAlign w:val="center"/>
          </w:tcPr>
          <w:p w14:paraId="3DAD603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住院医用食品医嘱统计</w:t>
            </w:r>
          </w:p>
        </w:tc>
        <w:tc>
          <w:tcPr>
            <w:tcW w:w="3310" w:type="pct"/>
            <w:vAlign w:val="center"/>
          </w:tcPr>
          <w:p w14:paraId="17EBFB9A">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多维度汇总住院患者的医用食品医嘱全院的收费情况、发出情况，以及的每种产品的消耗情况。还可以统计各病区各科室的明细，并可查询所有医嘱的收费和发出明细、所有产品的发出明细。支持数据导出。</w:t>
            </w:r>
          </w:p>
        </w:tc>
      </w:tr>
      <w:tr w14:paraId="48AB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93" w:type="pct"/>
            <w:vMerge w:val="continue"/>
            <w:vAlign w:val="center"/>
          </w:tcPr>
          <w:p w14:paraId="5646CD59">
            <w:pPr>
              <w:widowControl/>
              <w:jc w:val="center"/>
              <w:rPr>
                <w:rFonts w:hint="eastAsia" w:ascii="宋体" w:hAnsi="宋体" w:eastAsia="宋体" w:cs="宋体"/>
                <w:color w:val="auto"/>
                <w:sz w:val="21"/>
                <w:szCs w:val="21"/>
                <w:lang w:val="en-US" w:eastAsia="zh-CN" w:bidi="ar-SA"/>
              </w:rPr>
            </w:pPr>
          </w:p>
        </w:tc>
        <w:tc>
          <w:tcPr>
            <w:tcW w:w="503" w:type="pct"/>
            <w:vAlign w:val="center"/>
          </w:tcPr>
          <w:p w14:paraId="6883F791">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门诊医嘱统计</w:t>
            </w:r>
          </w:p>
        </w:tc>
        <w:tc>
          <w:tcPr>
            <w:tcW w:w="692" w:type="pct"/>
            <w:vAlign w:val="center"/>
          </w:tcPr>
          <w:p w14:paraId="388DD61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门诊医用食品医嘱统计</w:t>
            </w:r>
          </w:p>
        </w:tc>
        <w:tc>
          <w:tcPr>
            <w:tcW w:w="3310" w:type="pct"/>
            <w:vAlign w:val="center"/>
          </w:tcPr>
          <w:p w14:paraId="587E2444">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多维度汇总门诊患者的医用食品医嘱全院收费情况、发出情况，以及的每种产品的消耗情况。还可以统计各病区的医嘱明细。支持数据导出。</w:t>
            </w:r>
          </w:p>
        </w:tc>
      </w:tr>
      <w:tr w14:paraId="4E3A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jc w:val="center"/>
        </w:trPr>
        <w:tc>
          <w:tcPr>
            <w:tcW w:w="493" w:type="pct"/>
            <w:vMerge w:val="restart"/>
            <w:vAlign w:val="center"/>
          </w:tcPr>
          <w:p w14:paraId="3DD0B273">
            <w:pPr>
              <w:widowControl/>
              <w:spacing w:after="20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营</w:t>
            </w:r>
          </w:p>
          <w:p w14:paraId="66DBA091">
            <w:pPr>
              <w:widowControl/>
              <w:spacing w:after="200"/>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养</w:t>
            </w:r>
          </w:p>
          <w:p w14:paraId="7452B14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w:t>
            </w:r>
          </w:p>
          <w:p w14:paraId="496ADAF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房</w:t>
            </w:r>
          </w:p>
          <w:p w14:paraId="5E197BD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管</w:t>
            </w:r>
          </w:p>
          <w:p w14:paraId="3B4EB0B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理</w:t>
            </w:r>
          </w:p>
          <w:p w14:paraId="4D1B97D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w:t>
            </w:r>
          </w:p>
          <w:p w14:paraId="12A8646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务</w:t>
            </w:r>
          </w:p>
        </w:tc>
        <w:tc>
          <w:tcPr>
            <w:tcW w:w="503" w:type="pct"/>
            <w:vAlign w:val="center"/>
          </w:tcPr>
          <w:p w14:paraId="257EC646">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库房管理</w:t>
            </w:r>
          </w:p>
        </w:tc>
        <w:tc>
          <w:tcPr>
            <w:tcW w:w="692" w:type="pct"/>
            <w:vAlign w:val="center"/>
          </w:tcPr>
          <w:p w14:paraId="300EEA8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库房信息维护</w:t>
            </w:r>
          </w:p>
        </w:tc>
        <w:tc>
          <w:tcPr>
            <w:tcW w:w="3310" w:type="pct"/>
            <w:vAlign w:val="center"/>
          </w:tcPr>
          <w:p w14:paraId="7EC3A120">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用于营养库房的创建、修改和删除，支持多库房模式；支持多院区下的库房管理。</w:t>
            </w:r>
          </w:p>
        </w:tc>
      </w:tr>
      <w:tr w14:paraId="2F65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0F848677">
            <w:pPr>
              <w:widowControl/>
              <w:jc w:val="center"/>
              <w:rPr>
                <w:rFonts w:hint="eastAsia" w:ascii="宋体" w:hAnsi="宋体" w:eastAsia="宋体" w:cs="宋体"/>
                <w:color w:val="auto"/>
                <w:sz w:val="21"/>
                <w:szCs w:val="21"/>
                <w:lang w:val="en-US" w:eastAsia="zh-CN" w:bidi="ar-SA"/>
              </w:rPr>
            </w:pPr>
          </w:p>
        </w:tc>
        <w:tc>
          <w:tcPr>
            <w:tcW w:w="503" w:type="pct"/>
            <w:vAlign w:val="center"/>
          </w:tcPr>
          <w:p w14:paraId="587A087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供应商管理</w:t>
            </w:r>
          </w:p>
        </w:tc>
        <w:tc>
          <w:tcPr>
            <w:tcW w:w="692" w:type="pct"/>
            <w:vAlign w:val="center"/>
          </w:tcPr>
          <w:p w14:paraId="6EE42DA1">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供应商信息维护</w:t>
            </w:r>
          </w:p>
        </w:tc>
        <w:tc>
          <w:tcPr>
            <w:tcW w:w="3310" w:type="pct"/>
            <w:vAlign w:val="center"/>
          </w:tcPr>
          <w:p w14:paraId="4BBE8C31">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用于库房合作供应商的资料维护，可以创建、修改和删除供应商信息。可以关联供应商的供货产品，可根据医院条件，当产品库存不足时自动向供应商发送补货通知短信。</w:t>
            </w:r>
          </w:p>
          <w:p w14:paraId="16885E44">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提供统计供应商功能，可统计各个供应商的采购数量和金额。</w:t>
            </w:r>
          </w:p>
        </w:tc>
      </w:tr>
      <w:tr w14:paraId="5C65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01FB09E2">
            <w:pPr>
              <w:widowControl/>
              <w:jc w:val="center"/>
              <w:rPr>
                <w:rFonts w:hint="eastAsia" w:ascii="宋体" w:hAnsi="宋体" w:eastAsia="宋体" w:cs="宋体"/>
                <w:color w:val="auto"/>
                <w:sz w:val="21"/>
                <w:szCs w:val="21"/>
                <w:lang w:val="en-US" w:eastAsia="zh-CN" w:bidi="ar-SA"/>
              </w:rPr>
            </w:pPr>
          </w:p>
        </w:tc>
        <w:tc>
          <w:tcPr>
            <w:tcW w:w="503" w:type="pct"/>
            <w:vAlign w:val="center"/>
          </w:tcPr>
          <w:p w14:paraId="0BA4BB5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入库管理</w:t>
            </w:r>
          </w:p>
        </w:tc>
        <w:tc>
          <w:tcPr>
            <w:tcW w:w="692" w:type="pct"/>
            <w:vAlign w:val="center"/>
          </w:tcPr>
          <w:p w14:paraId="0C3FCED5">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产品入库</w:t>
            </w:r>
          </w:p>
        </w:tc>
        <w:tc>
          <w:tcPr>
            <w:tcW w:w="3310" w:type="pct"/>
            <w:vAlign w:val="center"/>
          </w:tcPr>
          <w:p w14:paraId="5F0DB0C8">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进行产品的入库操作，提供入库审核功能，支持多批次的产品管理模式入库。支持供应商退货操作，并依照财务规范将退货计为负入库。支持入库验收单打印，可按供应商汇总每期的入库产品数量和采购金额。支持对已入库的记录进行修正。</w:t>
            </w:r>
          </w:p>
        </w:tc>
      </w:tr>
      <w:tr w14:paraId="1820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282BE0C8">
            <w:pPr>
              <w:widowControl/>
              <w:jc w:val="center"/>
              <w:rPr>
                <w:rFonts w:hint="eastAsia" w:ascii="宋体" w:hAnsi="宋体" w:eastAsia="宋体" w:cs="宋体"/>
                <w:color w:val="auto"/>
                <w:sz w:val="21"/>
                <w:szCs w:val="21"/>
                <w:lang w:val="en-US" w:eastAsia="zh-CN" w:bidi="ar-SA"/>
              </w:rPr>
            </w:pPr>
          </w:p>
        </w:tc>
        <w:tc>
          <w:tcPr>
            <w:tcW w:w="503" w:type="pct"/>
            <w:vAlign w:val="center"/>
          </w:tcPr>
          <w:p w14:paraId="68F4B9F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出库管理</w:t>
            </w:r>
          </w:p>
        </w:tc>
        <w:tc>
          <w:tcPr>
            <w:tcW w:w="692" w:type="pct"/>
            <w:vAlign w:val="center"/>
          </w:tcPr>
          <w:p w14:paraId="4C69AE9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产品出库</w:t>
            </w:r>
          </w:p>
        </w:tc>
        <w:tc>
          <w:tcPr>
            <w:tcW w:w="3310" w:type="pct"/>
            <w:vAlign w:val="center"/>
          </w:tcPr>
          <w:p w14:paraId="4D963CDE">
            <w:pPr>
              <w:widowControl/>
              <w:spacing w:after="200"/>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可进行产品的出库操作，提供出库审核功能，支持医嘱自动出库，其中回收按财务规范自动计为负出库。支持对已出库的记录进行修正。</w:t>
            </w:r>
          </w:p>
        </w:tc>
      </w:tr>
      <w:tr w14:paraId="433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59EB1C2B">
            <w:pPr>
              <w:widowControl/>
              <w:jc w:val="center"/>
              <w:rPr>
                <w:rFonts w:hint="eastAsia" w:ascii="宋体" w:hAnsi="宋体" w:eastAsia="宋体" w:cs="宋体"/>
                <w:color w:val="auto"/>
                <w:sz w:val="21"/>
                <w:szCs w:val="21"/>
                <w:lang w:val="en-US" w:eastAsia="zh-CN" w:bidi="ar-SA"/>
              </w:rPr>
            </w:pPr>
          </w:p>
        </w:tc>
        <w:tc>
          <w:tcPr>
            <w:tcW w:w="503" w:type="pct"/>
            <w:vAlign w:val="center"/>
          </w:tcPr>
          <w:p w14:paraId="7D82137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盘点管理</w:t>
            </w:r>
          </w:p>
        </w:tc>
        <w:tc>
          <w:tcPr>
            <w:tcW w:w="692" w:type="pct"/>
            <w:vAlign w:val="center"/>
          </w:tcPr>
          <w:p w14:paraId="19CBDD6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库存盘点</w:t>
            </w:r>
          </w:p>
        </w:tc>
        <w:tc>
          <w:tcPr>
            <w:tcW w:w="3310" w:type="pct"/>
            <w:vAlign w:val="center"/>
          </w:tcPr>
          <w:p w14:paraId="54D61C86">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可以对指定库房的产品进行盘点操作，盘点时自动锁定该库房并禁止出入库操作，支持盘点审核功能，盘点后自动进行库存校正，并生成对应的出入库矫正记录，支持多批次产品管理下的盘点。</w:t>
            </w:r>
          </w:p>
        </w:tc>
      </w:tr>
      <w:tr w14:paraId="778A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297BDCB6">
            <w:pPr>
              <w:widowControl/>
              <w:jc w:val="center"/>
              <w:rPr>
                <w:rFonts w:hint="eastAsia" w:ascii="宋体" w:hAnsi="宋体" w:eastAsia="宋体" w:cs="宋体"/>
                <w:color w:val="auto"/>
                <w:sz w:val="21"/>
                <w:szCs w:val="21"/>
                <w:lang w:val="en-US" w:eastAsia="zh-CN" w:bidi="ar-SA"/>
              </w:rPr>
            </w:pPr>
          </w:p>
        </w:tc>
        <w:tc>
          <w:tcPr>
            <w:tcW w:w="503" w:type="pct"/>
            <w:vAlign w:val="center"/>
          </w:tcPr>
          <w:p w14:paraId="7A0D24D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库存管理</w:t>
            </w:r>
          </w:p>
        </w:tc>
        <w:tc>
          <w:tcPr>
            <w:tcW w:w="692" w:type="pct"/>
            <w:vAlign w:val="center"/>
          </w:tcPr>
          <w:p w14:paraId="3F7DF8B1">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库存查看</w:t>
            </w:r>
          </w:p>
        </w:tc>
        <w:tc>
          <w:tcPr>
            <w:tcW w:w="3310" w:type="pct"/>
            <w:vAlign w:val="center"/>
          </w:tcPr>
          <w:p w14:paraId="2ACC1BC4">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支持各库房下产品的库存查看和每个批次的产品库存查看；提供库存预警功能；自动估算当前产品库存的剩余使用天数；多批次产品管理模式下还支持产品的过期日期预警。支持修改历史批次的采购单价。</w:t>
            </w:r>
          </w:p>
        </w:tc>
      </w:tr>
      <w:tr w14:paraId="65A1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34CC7530">
            <w:pPr>
              <w:widowControl/>
              <w:jc w:val="center"/>
              <w:rPr>
                <w:rFonts w:hint="eastAsia" w:ascii="宋体" w:hAnsi="宋体" w:eastAsia="宋体" w:cs="宋体"/>
                <w:color w:val="auto"/>
                <w:sz w:val="21"/>
                <w:szCs w:val="21"/>
                <w:lang w:val="en-US" w:eastAsia="zh-CN" w:bidi="ar-SA"/>
              </w:rPr>
            </w:pPr>
          </w:p>
        </w:tc>
        <w:tc>
          <w:tcPr>
            <w:tcW w:w="503" w:type="pct"/>
            <w:vAlign w:val="center"/>
          </w:tcPr>
          <w:p w14:paraId="2AE69A5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库房明细</w:t>
            </w:r>
          </w:p>
        </w:tc>
        <w:tc>
          <w:tcPr>
            <w:tcW w:w="692" w:type="pct"/>
            <w:vAlign w:val="center"/>
          </w:tcPr>
          <w:p w14:paraId="5D23A0E1">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出入库汇总和明细</w:t>
            </w:r>
          </w:p>
        </w:tc>
        <w:tc>
          <w:tcPr>
            <w:tcW w:w="3310" w:type="pct"/>
            <w:vAlign w:val="center"/>
          </w:tcPr>
          <w:p w14:paraId="74D7B94B">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汇总每期初始库存、入库数量和采购金额（即采购相关）、出库数量和采购金额（即医嘱消耗相关）、盘点盈亏数量和金额以及期末库存。支持查看完整的营养产品的出入库信息明细记录。支持导出。</w:t>
            </w:r>
          </w:p>
        </w:tc>
      </w:tr>
      <w:tr w14:paraId="6D55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restart"/>
            <w:vAlign w:val="center"/>
          </w:tcPr>
          <w:p w14:paraId="5B48F78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系</w:t>
            </w:r>
          </w:p>
          <w:p w14:paraId="1CE6AE1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统</w:t>
            </w:r>
          </w:p>
          <w:p w14:paraId="7DD620D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基</w:t>
            </w:r>
          </w:p>
          <w:p w14:paraId="6D42EC7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础</w:t>
            </w:r>
          </w:p>
          <w:p w14:paraId="5BA40E3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数</w:t>
            </w:r>
          </w:p>
          <w:p w14:paraId="1762A5A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据</w:t>
            </w:r>
          </w:p>
          <w:p w14:paraId="0EACE52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w:t>
            </w:r>
          </w:p>
          <w:p w14:paraId="376431A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务</w:t>
            </w:r>
          </w:p>
          <w:p w14:paraId="3B7A7A29">
            <w:pPr>
              <w:widowControl/>
              <w:spacing w:after="200"/>
              <w:jc w:val="center"/>
              <w:rPr>
                <w:rFonts w:hint="eastAsia" w:ascii="宋体" w:hAnsi="宋体" w:eastAsia="宋体" w:cs="宋体"/>
                <w:color w:val="auto"/>
                <w:sz w:val="21"/>
                <w:szCs w:val="21"/>
                <w:lang w:val="en-US" w:eastAsia="zh-CN" w:bidi="ar-SA"/>
              </w:rPr>
            </w:pPr>
          </w:p>
        </w:tc>
        <w:tc>
          <w:tcPr>
            <w:tcW w:w="503" w:type="pct"/>
            <w:vAlign w:val="center"/>
          </w:tcPr>
          <w:p w14:paraId="64372A0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产品管理</w:t>
            </w:r>
          </w:p>
        </w:tc>
        <w:tc>
          <w:tcPr>
            <w:tcW w:w="692" w:type="pct"/>
            <w:vAlign w:val="center"/>
          </w:tcPr>
          <w:p w14:paraId="4AFFF30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产品信息维护</w:t>
            </w:r>
          </w:p>
        </w:tc>
        <w:tc>
          <w:tcPr>
            <w:tcW w:w="3310" w:type="pct"/>
            <w:vAlign w:val="center"/>
          </w:tcPr>
          <w:p w14:paraId="2C0EE2D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用于维护肠内肠外营养产品信息和营养成分数据；支持产品信息的修改、停用等。</w:t>
            </w:r>
          </w:p>
        </w:tc>
      </w:tr>
      <w:tr w14:paraId="3E6E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C9AFA83">
            <w:pPr>
              <w:widowControl/>
              <w:jc w:val="center"/>
              <w:rPr>
                <w:rFonts w:hint="eastAsia" w:ascii="宋体" w:hAnsi="宋体" w:eastAsia="宋体" w:cs="宋体"/>
                <w:color w:val="auto"/>
                <w:sz w:val="21"/>
                <w:szCs w:val="21"/>
                <w:lang w:val="en-US" w:eastAsia="zh-CN" w:bidi="ar-SA"/>
              </w:rPr>
            </w:pPr>
          </w:p>
        </w:tc>
        <w:tc>
          <w:tcPr>
            <w:tcW w:w="503" w:type="pct"/>
            <w:vAlign w:val="center"/>
          </w:tcPr>
          <w:p w14:paraId="5A5D880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医嘱字典</w:t>
            </w:r>
          </w:p>
        </w:tc>
        <w:tc>
          <w:tcPr>
            <w:tcW w:w="692" w:type="pct"/>
            <w:vAlign w:val="center"/>
          </w:tcPr>
          <w:p w14:paraId="5170E73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医嘱字典维护</w:t>
            </w:r>
          </w:p>
        </w:tc>
        <w:tc>
          <w:tcPr>
            <w:tcW w:w="3310" w:type="pct"/>
            <w:vAlign w:val="center"/>
          </w:tcPr>
          <w:p w14:paraId="340844AD">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用于维护肠内医用食品医嘱、肠内药品医嘱和肠外医嘱（可通过医嘱编码与his 开立的匹配）。肠内医用食品医嘱可支持成品和制剂类型医嘱的维护。根据对应的产品成分自动计算每份医嘱的营养成分。</w:t>
            </w:r>
          </w:p>
        </w:tc>
      </w:tr>
      <w:tr w14:paraId="4117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35303988">
            <w:pPr>
              <w:widowControl/>
              <w:jc w:val="center"/>
              <w:rPr>
                <w:rFonts w:hint="eastAsia" w:ascii="宋体" w:hAnsi="宋体" w:eastAsia="宋体" w:cs="宋体"/>
                <w:color w:val="auto"/>
                <w:sz w:val="21"/>
                <w:szCs w:val="21"/>
                <w:lang w:val="en-US" w:eastAsia="zh-CN" w:bidi="ar-SA"/>
              </w:rPr>
            </w:pPr>
          </w:p>
        </w:tc>
        <w:tc>
          <w:tcPr>
            <w:tcW w:w="503" w:type="pct"/>
            <w:vAlign w:val="center"/>
          </w:tcPr>
          <w:p w14:paraId="41E6DF6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组套管理</w:t>
            </w:r>
          </w:p>
        </w:tc>
        <w:tc>
          <w:tcPr>
            <w:tcW w:w="692" w:type="pct"/>
            <w:vAlign w:val="center"/>
          </w:tcPr>
          <w:p w14:paraId="7022330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医嘱组套管理</w:t>
            </w:r>
          </w:p>
        </w:tc>
        <w:tc>
          <w:tcPr>
            <w:tcW w:w="3310" w:type="pct"/>
            <w:vAlign w:val="center"/>
          </w:tcPr>
          <w:p w14:paraId="5B84F880">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1）用于管理肠内医嘱和肠外医嘱组套，可以进行新增、修改和删除操作。      2）组套中可包含多个医嘱，并设置各自的剂量和使用方案，在开立医嘱或方案时可以一键添加组套中的所有医嘱及其使用方法。</w:t>
            </w:r>
          </w:p>
          <w:p w14:paraId="04CB9DD6">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3）创建组套时会计算组套中的营养素成分值，如果是肠外组套还会对肠外指标进行计算。</w:t>
            </w:r>
          </w:p>
        </w:tc>
      </w:tr>
      <w:tr w14:paraId="54CE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0CC365C0">
            <w:pPr>
              <w:widowControl/>
              <w:jc w:val="center"/>
              <w:rPr>
                <w:rFonts w:hint="eastAsia" w:ascii="宋体" w:hAnsi="宋体" w:eastAsia="宋体" w:cs="宋体"/>
                <w:color w:val="auto"/>
                <w:sz w:val="21"/>
                <w:szCs w:val="21"/>
                <w:lang w:val="en-US" w:eastAsia="zh-CN" w:bidi="ar-SA"/>
              </w:rPr>
            </w:pPr>
          </w:p>
        </w:tc>
        <w:tc>
          <w:tcPr>
            <w:tcW w:w="503" w:type="pct"/>
            <w:vAlign w:val="center"/>
          </w:tcPr>
          <w:p w14:paraId="07E898E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食物管理</w:t>
            </w:r>
          </w:p>
        </w:tc>
        <w:tc>
          <w:tcPr>
            <w:tcW w:w="692" w:type="pct"/>
            <w:vAlign w:val="center"/>
          </w:tcPr>
          <w:p w14:paraId="5DB0871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食物管理</w:t>
            </w:r>
          </w:p>
        </w:tc>
        <w:tc>
          <w:tcPr>
            <w:tcW w:w="3310" w:type="pct"/>
            <w:vAlign w:val="center"/>
          </w:tcPr>
          <w:p w14:paraId="3EBBE737">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用于维护各种食物的参数信息，包括名称、类别和每100g食物各种营养素含量值；系统提供专业全面的食物库数据。</w:t>
            </w:r>
          </w:p>
        </w:tc>
      </w:tr>
      <w:tr w14:paraId="6BD9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3A7B5DDC">
            <w:pPr>
              <w:widowControl/>
              <w:jc w:val="center"/>
              <w:rPr>
                <w:rFonts w:hint="eastAsia" w:ascii="宋体" w:hAnsi="宋体" w:eastAsia="宋体" w:cs="宋体"/>
                <w:color w:val="auto"/>
                <w:sz w:val="21"/>
                <w:szCs w:val="21"/>
                <w:lang w:val="en-US" w:eastAsia="zh-CN" w:bidi="ar-SA"/>
              </w:rPr>
            </w:pPr>
          </w:p>
        </w:tc>
        <w:tc>
          <w:tcPr>
            <w:tcW w:w="503" w:type="pct"/>
            <w:vAlign w:val="center"/>
          </w:tcPr>
          <w:p w14:paraId="7552ABE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菜谱管理</w:t>
            </w:r>
          </w:p>
        </w:tc>
        <w:tc>
          <w:tcPr>
            <w:tcW w:w="692" w:type="pct"/>
            <w:vAlign w:val="center"/>
          </w:tcPr>
          <w:p w14:paraId="44D71FF6">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菜谱管理</w:t>
            </w:r>
          </w:p>
        </w:tc>
        <w:tc>
          <w:tcPr>
            <w:tcW w:w="3310" w:type="pct"/>
            <w:vAlign w:val="center"/>
          </w:tcPr>
          <w:p w14:paraId="04A3F76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用于维护菜谱信息，可选择相应数量的食物组成菜谱，自动计算每份菜谱的营养素含量；内置近2000份常用菜谱数据。</w:t>
            </w:r>
          </w:p>
        </w:tc>
      </w:tr>
      <w:tr w14:paraId="45E6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7CDFFAC0">
            <w:pPr>
              <w:widowControl/>
              <w:jc w:val="center"/>
              <w:rPr>
                <w:rFonts w:hint="eastAsia" w:ascii="宋体" w:hAnsi="宋体" w:eastAsia="宋体" w:cs="宋体"/>
                <w:color w:val="auto"/>
                <w:sz w:val="21"/>
                <w:szCs w:val="21"/>
                <w:lang w:val="en-US" w:eastAsia="zh-CN" w:bidi="ar-SA"/>
              </w:rPr>
            </w:pPr>
          </w:p>
        </w:tc>
        <w:tc>
          <w:tcPr>
            <w:tcW w:w="503" w:type="pct"/>
            <w:vAlign w:val="center"/>
          </w:tcPr>
          <w:p w14:paraId="168BAFD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食谱管理</w:t>
            </w:r>
          </w:p>
        </w:tc>
        <w:tc>
          <w:tcPr>
            <w:tcW w:w="692" w:type="pct"/>
            <w:vAlign w:val="center"/>
          </w:tcPr>
          <w:p w14:paraId="5D485CB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食谱管理</w:t>
            </w:r>
          </w:p>
        </w:tc>
        <w:tc>
          <w:tcPr>
            <w:tcW w:w="3310" w:type="pct"/>
            <w:vAlign w:val="center"/>
          </w:tcPr>
          <w:p w14:paraId="2E91EBDC">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食谱信息，可选择相应的菜谱，组合成一天所有餐次的食谱，同时支持将多份食谱组合成多日食谱套餐使用。支持自动计算每个食谱的营养素含量；可将食谱与疾病关联，支持根据疾病进行个性食谱的制定；内置超过千份常用食谱数据；</w:t>
            </w:r>
          </w:p>
        </w:tc>
      </w:tr>
      <w:tr w14:paraId="184A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41FB651A">
            <w:pPr>
              <w:widowControl/>
              <w:jc w:val="center"/>
              <w:rPr>
                <w:rFonts w:hint="eastAsia" w:ascii="宋体" w:hAnsi="宋体" w:eastAsia="宋体" w:cs="宋体"/>
                <w:color w:val="auto"/>
                <w:sz w:val="21"/>
                <w:szCs w:val="21"/>
                <w:lang w:val="en-US" w:eastAsia="zh-CN" w:bidi="ar-SA"/>
              </w:rPr>
            </w:pPr>
          </w:p>
        </w:tc>
        <w:tc>
          <w:tcPr>
            <w:tcW w:w="503" w:type="pct"/>
            <w:vAlign w:val="center"/>
          </w:tcPr>
          <w:p w14:paraId="0ADE72B8">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疾病管理</w:t>
            </w:r>
          </w:p>
        </w:tc>
        <w:tc>
          <w:tcPr>
            <w:tcW w:w="692" w:type="pct"/>
            <w:vAlign w:val="center"/>
          </w:tcPr>
          <w:p w14:paraId="137BE1A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疾病管理</w:t>
            </w:r>
          </w:p>
        </w:tc>
        <w:tc>
          <w:tcPr>
            <w:tcW w:w="3310" w:type="pct"/>
            <w:vAlign w:val="center"/>
          </w:tcPr>
          <w:p w14:paraId="3130EBCF">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用于维护常用的疾病数据；可与食谱进行关联；并提供专业的疾病库和部分常见疾病的营养建议供参考，用户也可以根据实际需要进行修改或完善内容。</w:t>
            </w:r>
          </w:p>
        </w:tc>
      </w:tr>
      <w:tr w14:paraId="6EC0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2620F884">
            <w:pPr>
              <w:widowControl/>
              <w:jc w:val="center"/>
              <w:rPr>
                <w:rFonts w:hint="eastAsia" w:ascii="宋体" w:hAnsi="宋体" w:eastAsia="宋体" w:cs="宋体"/>
                <w:color w:val="auto"/>
                <w:sz w:val="21"/>
                <w:szCs w:val="21"/>
                <w:lang w:val="en-US" w:eastAsia="zh-CN" w:bidi="ar-SA"/>
              </w:rPr>
            </w:pPr>
          </w:p>
        </w:tc>
        <w:tc>
          <w:tcPr>
            <w:tcW w:w="503" w:type="pct"/>
            <w:shd w:val="clear" w:color="auto" w:fill="FFFFFF"/>
            <w:vAlign w:val="center"/>
          </w:tcPr>
          <w:p w14:paraId="1FF324B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诊断库</w:t>
            </w:r>
          </w:p>
        </w:tc>
        <w:tc>
          <w:tcPr>
            <w:tcW w:w="692" w:type="pct"/>
            <w:shd w:val="clear" w:color="auto" w:fill="FFFFFF"/>
            <w:vAlign w:val="center"/>
          </w:tcPr>
          <w:p w14:paraId="52F81F5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ICD-10诊断标准库</w:t>
            </w:r>
          </w:p>
        </w:tc>
        <w:tc>
          <w:tcPr>
            <w:tcW w:w="3310" w:type="pct"/>
            <w:shd w:val="clear" w:color="auto" w:fill="FFFFFF"/>
            <w:vAlign w:val="center"/>
          </w:tcPr>
          <w:p w14:paraId="2E3D4FFD">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自带ICD-10诊断标准库，可通过ICD-10编码与his诊断对应，可在此处设置NRS2002 与 STAMP疾病严重程度标签，实现半自动化筛查</w:t>
            </w:r>
          </w:p>
        </w:tc>
      </w:tr>
      <w:tr w14:paraId="47A7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68220D1B">
            <w:pPr>
              <w:widowControl/>
              <w:jc w:val="center"/>
              <w:rPr>
                <w:rFonts w:hint="eastAsia" w:ascii="宋体" w:hAnsi="宋体" w:eastAsia="宋体" w:cs="宋体"/>
                <w:color w:val="auto"/>
                <w:sz w:val="21"/>
                <w:szCs w:val="21"/>
                <w:lang w:val="en-US" w:eastAsia="zh-CN" w:bidi="ar-SA"/>
              </w:rPr>
            </w:pPr>
          </w:p>
        </w:tc>
        <w:tc>
          <w:tcPr>
            <w:tcW w:w="503" w:type="pct"/>
            <w:vAlign w:val="center"/>
          </w:tcPr>
          <w:p w14:paraId="21DA590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交换份管理</w:t>
            </w:r>
          </w:p>
        </w:tc>
        <w:tc>
          <w:tcPr>
            <w:tcW w:w="692" w:type="pct"/>
            <w:vAlign w:val="center"/>
          </w:tcPr>
          <w:p w14:paraId="458C8E7A">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交换份管理</w:t>
            </w:r>
          </w:p>
        </w:tc>
        <w:tc>
          <w:tcPr>
            <w:tcW w:w="3310" w:type="pct"/>
            <w:vAlign w:val="center"/>
          </w:tcPr>
          <w:p w14:paraId="5819A747">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用于维护交换的的类型和对应的营养素数据，内置 2023 版交换份数据，可在此基础上新增和修改类型数据。</w:t>
            </w:r>
          </w:p>
          <w:p w14:paraId="1C3A5A3C">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可支持制定交换份食谱模板，可在制定交换份食谱时直接调用。</w:t>
            </w:r>
          </w:p>
        </w:tc>
      </w:tr>
      <w:tr w14:paraId="4B4F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255A3586">
            <w:pPr>
              <w:widowControl/>
              <w:jc w:val="center"/>
              <w:rPr>
                <w:rFonts w:hint="eastAsia" w:ascii="宋体" w:hAnsi="宋体" w:eastAsia="宋体" w:cs="宋体"/>
                <w:color w:val="auto"/>
                <w:sz w:val="21"/>
                <w:szCs w:val="21"/>
                <w:lang w:val="en-US" w:eastAsia="zh-CN" w:bidi="ar-SA"/>
              </w:rPr>
            </w:pPr>
          </w:p>
        </w:tc>
        <w:tc>
          <w:tcPr>
            <w:tcW w:w="503" w:type="pct"/>
            <w:vAlign w:val="center"/>
          </w:tcPr>
          <w:p w14:paraId="4CEF31C2">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运动管理</w:t>
            </w:r>
          </w:p>
        </w:tc>
        <w:tc>
          <w:tcPr>
            <w:tcW w:w="692" w:type="pct"/>
            <w:vAlign w:val="center"/>
          </w:tcPr>
          <w:p w14:paraId="2E8AE597">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运动管理</w:t>
            </w:r>
          </w:p>
        </w:tc>
        <w:tc>
          <w:tcPr>
            <w:tcW w:w="3310" w:type="pct"/>
            <w:vAlign w:val="center"/>
          </w:tcPr>
          <w:p w14:paraId="5307ACA0">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用于维护运动项目数据，内置几十种常用运动项目的MET数据。</w:t>
            </w:r>
          </w:p>
          <w:p w14:paraId="37001340">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可支持制定运动处模板，可在运动处方开立时直接调用。</w:t>
            </w:r>
          </w:p>
        </w:tc>
      </w:tr>
      <w:tr w14:paraId="2429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6" w:hRule="atLeast"/>
          <w:jc w:val="center"/>
        </w:trPr>
        <w:tc>
          <w:tcPr>
            <w:tcW w:w="493" w:type="pct"/>
            <w:vMerge w:val="restart"/>
            <w:vAlign w:val="center"/>
          </w:tcPr>
          <w:p w14:paraId="567B585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账</w:t>
            </w:r>
          </w:p>
          <w:p w14:paraId="20B0796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户</w:t>
            </w:r>
          </w:p>
          <w:p w14:paraId="36228D11">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管</w:t>
            </w:r>
          </w:p>
          <w:p w14:paraId="50D666E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理</w:t>
            </w:r>
          </w:p>
          <w:p w14:paraId="2301C966">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w:t>
            </w:r>
          </w:p>
          <w:p w14:paraId="4CF8B90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务</w:t>
            </w:r>
          </w:p>
        </w:tc>
        <w:tc>
          <w:tcPr>
            <w:tcW w:w="503" w:type="pct"/>
            <w:vAlign w:val="center"/>
          </w:tcPr>
          <w:p w14:paraId="6B200D93">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账户列表</w:t>
            </w:r>
          </w:p>
        </w:tc>
        <w:tc>
          <w:tcPr>
            <w:tcW w:w="692" w:type="pct"/>
            <w:vAlign w:val="center"/>
          </w:tcPr>
          <w:p w14:paraId="59AA7EB5">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患者营养费用账户</w:t>
            </w:r>
          </w:p>
        </w:tc>
        <w:tc>
          <w:tcPr>
            <w:tcW w:w="3310" w:type="pct"/>
            <w:vAlign w:val="center"/>
          </w:tcPr>
          <w:p w14:paraId="50C08457">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用于患者营养账户的创建、充值、退费。还可以查看患者的消费明细，可打印充值凭证、结算单。可支持医院发票平台对接。可批量设置患者的允许欠费上限，每个患者支持设置不同的上限。支持出院后自动退费。</w:t>
            </w:r>
          </w:p>
          <w:p w14:paraId="52402ADA">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另：支持护士端查看当前病区的患者账户余额，并可打印催费单。支持多种充值方式包含线下微信、支付宝扫码支付、现金支付，线上小程序或公众号支付。支持窗口支持、病区支付、医嘱单支付。余额退款支持原路退还。（说明：以上功能需医院提供独立商户号，并需要账户所属银行配合对接）</w:t>
            </w:r>
          </w:p>
          <w:p w14:paraId="6C943E2F">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可打印住院特医费用汇总清单和明细清单（仅支持在营养系统触发收费的模式）。</w:t>
            </w:r>
          </w:p>
        </w:tc>
      </w:tr>
      <w:tr w14:paraId="3EDE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jc w:val="center"/>
        </w:trPr>
        <w:tc>
          <w:tcPr>
            <w:tcW w:w="493" w:type="pct"/>
            <w:vMerge w:val="continue"/>
            <w:vAlign w:val="center"/>
          </w:tcPr>
          <w:p w14:paraId="0B56077C">
            <w:pPr>
              <w:widowControl/>
              <w:jc w:val="center"/>
              <w:rPr>
                <w:rFonts w:hint="eastAsia" w:ascii="宋体" w:hAnsi="宋体" w:eastAsia="宋体" w:cs="宋体"/>
                <w:color w:val="auto"/>
                <w:sz w:val="21"/>
                <w:szCs w:val="21"/>
                <w:lang w:val="en-US" w:eastAsia="zh-CN" w:bidi="ar-SA"/>
              </w:rPr>
            </w:pPr>
          </w:p>
        </w:tc>
        <w:tc>
          <w:tcPr>
            <w:tcW w:w="503" w:type="pct"/>
            <w:vAlign w:val="center"/>
          </w:tcPr>
          <w:p w14:paraId="1DF1FE2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结算列表</w:t>
            </w:r>
          </w:p>
        </w:tc>
        <w:tc>
          <w:tcPr>
            <w:tcW w:w="692" w:type="pct"/>
            <w:vAlign w:val="center"/>
          </w:tcPr>
          <w:p w14:paraId="076C0F45">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结算模式</w:t>
            </w:r>
          </w:p>
        </w:tc>
        <w:tc>
          <w:tcPr>
            <w:tcW w:w="3310" w:type="pct"/>
            <w:vAlign w:val="center"/>
          </w:tcPr>
          <w:p w14:paraId="46876B72">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适用于结算模式收费。显示所有待结算的记录，可以进行结算操作，可对部分医嘱进行结算。结算支持扫码支付、现金支付和发送微信支付链接方式（需要银行接口支持）。</w:t>
            </w:r>
          </w:p>
        </w:tc>
      </w:tr>
      <w:tr w14:paraId="24C9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5" w:hRule="atLeast"/>
          <w:jc w:val="center"/>
        </w:trPr>
        <w:tc>
          <w:tcPr>
            <w:tcW w:w="493" w:type="pct"/>
            <w:vMerge w:val="continue"/>
            <w:vAlign w:val="center"/>
          </w:tcPr>
          <w:p w14:paraId="6EAC3A3A">
            <w:pPr>
              <w:widowControl/>
              <w:jc w:val="center"/>
              <w:rPr>
                <w:rFonts w:hint="eastAsia" w:ascii="宋体" w:hAnsi="宋体" w:eastAsia="宋体" w:cs="宋体"/>
                <w:color w:val="auto"/>
                <w:sz w:val="21"/>
                <w:szCs w:val="21"/>
                <w:lang w:val="en-US" w:eastAsia="zh-CN" w:bidi="ar-SA"/>
              </w:rPr>
            </w:pPr>
          </w:p>
        </w:tc>
        <w:tc>
          <w:tcPr>
            <w:tcW w:w="503" w:type="pct"/>
            <w:vAlign w:val="center"/>
          </w:tcPr>
          <w:p w14:paraId="74B22C7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日汇总</w:t>
            </w:r>
          </w:p>
        </w:tc>
        <w:tc>
          <w:tcPr>
            <w:tcW w:w="692" w:type="pct"/>
            <w:vAlign w:val="center"/>
          </w:tcPr>
          <w:p w14:paraId="1223DC3C">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汇总每日费用</w:t>
            </w:r>
          </w:p>
        </w:tc>
        <w:tc>
          <w:tcPr>
            <w:tcW w:w="3310" w:type="pct"/>
            <w:vAlign w:val="center"/>
          </w:tcPr>
          <w:p w14:paraId="40A41C78">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汇总每日总入账金额、充值总金额、退款总金额、消费总金额、退单总金额，以及各个渠道的充值和消费金额等数据，可查看每个金额的对应明细并导出；支持每日对账功能；支持每日费用数据导出。</w:t>
            </w:r>
          </w:p>
        </w:tc>
      </w:tr>
      <w:tr w14:paraId="56CB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5" w:hRule="atLeast"/>
          <w:jc w:val="center"/>
        </w:trPr>
        <w:tc>
          <w:tcPr>
            <w:tcW w:w="493" w:type="pct"/>
            <w:vMerge w:val="restart"/>
            <w:vAlign w:val="center"/>
          </w:tcPr>
          <w:p w14:paraId="130A911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w:t>
            </w:r>
          </w:p>
          <w:p w14:paraId="79E48CE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养</w:t>
            </w:r>
          </w:p>
          <w:p w14:paraId="1C06FB2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统</w:t>
            </w:r>
          </w:p>
          <w:p w14:paraId="071A90F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计</w:t>
            </w:r>
          </w:p>
          <w:p w14:paraId="78C2E7E6">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服</w:t>
            </w:r>
          </w:p>
          <w:p w14:paraId="0D9F8C79">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务</w:t>
            </w:r>
          </w:p>
          <w:p w14:paraId="428C6892">
            <w:pPr>
              <w:widowControl/>
              <w:spacing w:after="200"/>
              <w:jc w:val="center"/>
              <w:rPr>
                <w:rFonts w:hint="eastAsia" w:ascii="宋体" w:hAnsi="宋体" w:eastAsia="宋体" w:cs="宋体"/>
                <w:color w:val="auto"/>
                <w:sz w:val="21"/>
                <w:szCs w:val="21"/>
                <w:lang w:val="en-US" w:eastAsia="zh-CN" w:bidi="ar-SA"/>
              </w:rPr>
            </w:pPr>
          </w:p>
        </w:tc>
        <w:tc>
          <w:tcPr>
            <w:tcW w:w="503" w:type="pct"/>
            <w:vAlign w:val="center"/>
          </w:tcPr>
          <w:p w14:paraId="4E2CA1ED">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工作量统计</w:t>
            </w:r>
          </w:p>
        </w:tc>
        <w:tc>
          <w:tcPr>
            <w:tcW w:w="692" w:type="pct"/>
            <w:vAlign w:val="center"/>
          </w:tcPr>
          <w:p w14:paraId="24DB0EDF">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汇总用户工作量</w:t>
            </w:r>
          </w:p>
        </w:tc>
        <w:tc>
          <w:tcPr>
            <w:tcW w:w="3310" w:type="pct"/>
            <w:vAlign w:val="center"/>
          </w:tcPr>
          <w:p w14:paraId="66B82242">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统计全院每月营养流程各个环节的工作量数据和每个营养医师每个环节的工作量。支持导出数据。</w:t>
            </w:r>
          </w:p>
        </w:tc>
      </w:tr>
      <w:tr w14:paraId="4AF6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38937628">
            <w:pPr>
              <w:widowControl/>
              <w:jc w:val="center"/>
              <w:rPr>
                <w:rFonts w:hint="eastAsia" w:ascii="宋体" w:hAnsi="宋体" w:eastAsia="宋体" w:cs="宋体"/>
                <w:color w:val="auto"/>
                <w:sz w:val="21"/>
                <w:szCs w:val="21"/>
                <w:lang w:val="en-US" w:eastAsia="zh-CN" w:bidi="ar-SA"/>
              </w:rPr>
            </w:pPr>
          </w:p>
        </w:tc>
        <w:tc>
          <w:tcPr>
            <w:tcW w:w="503" w:type="pct"/>
            <w:vAlign w:val="center"/>
          </w:tcPr>
          <w:p w14:paraId="50370B0E">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营养质控</w:t>
            </w:r>
          </w:p>
        </w:tc>
        <w:tc>
          <w:tcPr>
            <w:tcW w:w="692" w:type="pct"/>
            <w:vAlign w:val="center"/>
          </w:tcPr>
          <w:p w14:paraId="0EADA0F4">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质控数据统计</w:t>
            </w:r>
          </w:p>
        </w:tc>
        <w:tc>
          <w:tcPr>
            <w:tcW w:w="3310" w:type="pct"/>
            <w:vAlign w:val="center"/>
          </w:tcPr>
          <w:p w14:paraId="54CD462C">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统计国家质控要求的主要指标，可按月度、季度、年度统计出院人数、营养筛查人数、筛查人次、风险人数、评估人数、评估人次、诊断人数、各途径营养治疗人数、各途径营养治疗人日数，糖尿的评估、治疗人数等。</w:t>
            </w:r>
          </w:p>
          <w:p w14:paraId="51F45FA6">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支持按病区汇总质控数据，支持病区汇总数据导出。</w:t>
            </w:r>
          </w:p>
          <w:p w14:paraId="2F4D9A04">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支持自定义指标内容和布局顺序，统计时支持过滤无效住院患者。支持展示所有质控指标的含义说明。</w:t>
            </w:r>
          </w:p>
        </w:tc>
      </w:tr>
      <w:tr w14:paraId="6792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493" w:type="pct"/>
            <w:vMerge w:val="continue"/>
            <w:vAlign w:val="center"/>
          </w:tcPr>
          <w:p w14:paraId="5AE1E09D">
            <w:pPr>
              <w:widowControl/>
              <w:jc w:val="center"/>
              <w:rPr>
                <w:rFonts w:hint="eastAsia" w:ascii="宋体" w:hAnsi="宋体" w:eastAsia="宋体" w:cs="宋体"/>
                <w:color w:val="auto"/>
                <w:sz w:val="21"/>
                <w:szCs w:val="21"/>
                <w:lang w:val="en-US" w:eastAsia="zh-CN" w:bidi="ar-SA"/>
              </w:rPr>
            </w:pPr>
          </w:p>
        </w:tc>
        <w:tc>
          <w:tcPr>
            <w:tcW w:w="503" w:type="pct"/>
            <w:vAlign w:val="center"/>
          </w:tcPr>
          <w:p w14:paraId="5719697B">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质控明细</w:t>
            </w:r>
          </w:p>
        </w:tc>
        <w:tc>
          <w:tcPr>
            <w:tcW w:w="692" w:type="pct"/>
            <w:vAlign w:val="center"/>
          </w:tcPr>
          <w:p w14:paraId="36B59230">
            <w:pPr>
              <w:widowControl/>
              <w:spacing w:after="200"/>
              <w:jc w:val="cente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展示质控明细</w:t>
            </w:r>
          </w:p>
        </w:tc>
        <w:tc>
          <w:tcPr>
            <w:tcW w:w="3310" w:type="pct"/>
            <w:vAlign w:val="center"/>
          </w:tcPr>
          <w:p w14:paraId="20A51873">
            <w:pPr>
              <w:widowControl/>
              <w:spacing w:after="200"/>
              <w:jc w:val="both"/>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bidi="ar-SA"/>
              </w:rPr>
              <w:t>汇总筛查明细、评估明细、会诊明细、监测明细、治疗明细、病历明细。</w:t>
            </w:r>
          </w:p>
        </w:tc>
      </w:tr>
    </w:tbl>
    <w:p w14:paraId="4ED49A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DFC739"/>
    <w:rsid w:val="19E903BE"/>
    <w:rsid w:val="2E920B03"/>
    <w:rsid w:val="75DF8A4B"/>
    <w:rsid w:val="75E9E6BF"/>
    <w:rsid w:val="A6DFC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0"/>
    <w:pPr>
      <w:ind w:firstLine="420" w:firstLineChars="200"/>
    </w:p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页眉或页脚1"/>
    <w:basedOn w:val="1"/>
    <w:link w:val="8"/>
    <w:qFormat/>
    <w:uiPriority w:val="0"/>
    <w:pPr>
      <w:shd w:val="clear" w:color="auto" w:fill="FFFFFF"/>
      <w:spacing w:line="0" w:lineRule="atLeast"/>
    </w:pPr>
    <w:rPr>
      <w:rFonts w:ascii="Courier New" w:hAnsi="Courier New" w:eastAsia="Songti SC" w:cs="Courier New"/>
      <w:color w:val="000000"/>
      <w:sz w:val="18"/>
      <w:szCs w:val="18"/>
      <w:lang w:val="zh-TW" w:eastAsia="zh-TW" w:bidi="zh-TW"/>
    </w:rPr>
  </w:style>
  <w:style w:type="character" w:customStyle="1" w:styleId="8">
    <w:name w:val="页眉或页脚_"/>
    <w:basedOn w:val="5"/>
    <w:link w:val="7"/>
    <w:qFormat/>
    <w:uiPriority w:val="0"/>
    <w:rPr>
      <w:rFonts w:ascii="Courier New" w:hAnsi="Courier New" w:eastAsia="Songti SC" w:cs="Courier New"/>
      <w:color w:val="000000"/>
      <w:sz w:val="18"/>
      <w:szCs w:val="18"/>
      <w:u w:val="none"/>
      <w:lang w:val="zh-TW" w:eastAsia="zh-TW" w:bidi="zh-TW"/>
    </w:rPr>
  </w:style>
  <w:style w:type="character" w:customStyle="1" w:styleId="9">
    <w:name w:val="标题 2 Char1"/>
    <w:qFormat/>
    <w:uiPriority w:val="8"/>
    <w:rPr>
      <w:rFonts w:ascii="Arial" w:hAnsi="Arial" w:eastAsia="黑体" w:cs="Times New Roman"/>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6517</Words>
  <Characters>6712</Characters>
  <Lines>0</Lines>
  <Paragraphs>0</Paragraphs>
  <TotalTime>6</TotalTime>
  <ScaleCrop>false</ScaleCrop>
  <LinksUpToDate>false</LinksUpToDate>
  <CharactersWithSpaces>6737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2024-09-23T20:34:00Z</dcterms:created>
  <dc:creator>哟nashei</dc:creator>
  <cp:lastModifiedBy>孙一慧</cp:lastModifiedBy>
  <dcterms:modified xsi:type="dcterms:W3CDTF">2025-09-18T02:00:02Z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83DB6DDDE34B8CB55460F1666AA7CB92_41</vt:lpwstr>
  </property>
  <property fmtid="{D5CDD505-2E9C-101B-9397-08002B2CF9AE}" pid="4" name="KSOTemplateDocerSaveRecord">
    <vt:lpwstr>eyJoZGlkIjoiNDRhNDlhODkzYjA3NzAwMDFkNGY4N2FjZTA0YjI3MWMiLCJ1c2VySWQiOiI0NDQ5OTU0MDQifQ==</vt:lpwstr>
  </property>
</Properties>
</file>