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45E1" w14:textId="3A8928E4" w:rsidR="00CE5B52" w:rsidRPr="00CE5B52" w:rsidRDefault="00CE5B52" w:rsidP="00CE5B52">
      <w:pPr>
        <w:pStyle w:val="a3"/>
        <w:shd w:val="clear" w:color="auto" w:fill="FFFFFF"/>
        <w:spacing w:before="0" w:beforeAutospacing="0" w:after="0" w:afterAutospacing="0" w:line="435" w:lineRule="atLeast"/>
        <w:ind w:left="480"/>
        <w:jc w:val="center"/>
        <w:rPr>
          <w:rStyle w:val="a4"/>
          <w:color w:val="000000"/>
          <w:sz w:val="32"/>
          <w:szCs w:val="32"/>
        </w:rPr>
      </w:pPr>
      <w:r w:rsidRPr="00CE5B52">
        <w:rPr>
          <w:rStyle w:val="a4"/>
          <w:rFonts w:hint="eastAsia"/>
          <w:color w:val="000000"/>
          <w:sz w:val="32"/>
          <w:szCs w:val="32"/>
        </w:rPr>
        <w:t>大阳山急救站120急救系统及配套监控系统</w:t>
      </w:r>
      <w:r>
        <w:rPr>
          <w:rStyle w:val="a4"/>
          <w:rFonts w:hint="eastAsia"/>
          <w:color w:val="000000"/>
          <w:sz w:val="32"/>
          <w:szCs w:val="32"/>
        </w:rPr>
        <w:t>技术参数</w:t>
      </w:r>
    </w:p>
    <w:p w14:paraId="4EFC4E06" w14:textId="6EBCF5E5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Fonts w:ascii="微软雅黑" w:eastAsia="微软雅黑" w:hAnsi="微软雅黑" w:hint="eastAsia"/>
          <w:b/>
          <w:color w:val="666666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一、项目名称：</w:t>
      </w:r>
      <w:r w:rsidRPr="00614372">
        <w:rPr>
          <w:rStyle w:val="a4"/>
          <w:rFonts w:hint="eastAsia"/>
          <w:color w:val="000000"/>
          <w:sz w:val="21"/>
          <w:szCs w:val="21"/>
        </w:rPr>
        <w:t>大阳山急救站120急救系统及配套监控系统</w:t>
      </w:r>
    </w:p>
    <w:p w14:paraId="404A0DDA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rFonts w:hint="eastAsia"/>
          <w:bCs w:val="0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二、采购方信息：</w:t>
      </w:r>
    </w:p>
    <w:p w14:paraId="43E1DD09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sz w:val="21"/>
          <w:szCs w:val="21"/>
        </w:rPr>
      </w:pPr>
      <w:r>
        <w:rPr>
          <w:rStyle w:val="a4"/>
          <w:rFonts w:hint="eastAsia"/>
          <w:sz w:val="21"/>
          <w:szCs w:val="21"/>
        </w:rPr>
        <w:t>采购方：苏州科技城医院</w:t>
      </w:r>
    </w:p>
    <w:p w14:paraId="78BB81D1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sz w:val="21"/>
          <w:szCs w:val="21"/>
        </w:rPr>
      </w:pPr>
      <w:r>
        <w:rPr>
          <w:rStyle w:val="a4"/>
          <w:rFonts w:hint="eastAsia"/>
          <w:sz w:val="21"/>
          <w:szCs w:val="21"/>
        </w:rPr>
        <w:t>地址：苏州高新区科技城漓江路1号   </w:t>
      </w:r>
    </w:p>
    <w:p w14:paraId="46D7AD03" w14:textId="4AE971B1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rFonts w:hint="eastAsia"/>
          <w:b w:val="0"/>
          <w:color w:val="000000"/>
          <w:sz w:val="21"/>
          <w:szCs w:val="21"/>
        </w:rPr>
      </w:pPr>
      <w:r>
        <w:rPr>
          <w:rStyle w:val="a4"/>
          <w:rFonts w:hint="eastAsia"/>
          <w:sz w:val="21"/>
          <w:szCs w:val="21"/>
        </w:rPr>
        <w:t>电话：0512-695844432</w:t>
      </w:r>
    </w:p>
    <w:p w14:paraId="5B152315" w14:textId="6891419D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rFonts w:hint="eastAsia"/>
          <w:b w:val="0"/>
          <w:color w:val="000000"/>
          <w:sz w:val="21"/>
          <w:szCs w:val="21"/>
        </w:rPr>
      </w:pPr>
    </w:p>
    <w:tbl>
      <w:tblPr>
        <w:tblpPr w:leftFromText="180" w:rightFromText="180" w:vertAnchor="page" w:horzAnchor="margin" w:tblpY="5235"/>
        <w:tblW w:w="5620" w:type="pct"/>
        <w:tblLayout w:type="fixed"/>
        <w:tblLook w:val="04A0" w:firstRow="1" w:lastRow="0" w:firstColumn="1" w:lastColumn="0" w:noHBand="0" w:noVBand="1"/>
      </w:tblPr>
      <w:tblGrid>
        <w:gridCol w:w="548"/>
        <w:gridCol w:w="824"/>
        <w:gridCol w:w="6866"/>
        <w:gridCol w:w="540"/>
        <w:gridCol w:w="801"/>
      </w:tblGrid>
      <w:tr w:rsidR="00CE5B52" w14:paraId="20D0AAC9" w14:textId="77777777" w:rsidTr="00CE5B52">
        <w:trPr>
          <w:trHeight w:val="27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5B02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54BC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97A0" w14:textId="77777777" w:rsidR="00CE5B52" w:rsidRDefault="00CE5B52" w:rsidP="00CE5B5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产品描述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9B1B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4DAE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 w:rsidR="00CE5B52" w14:paraId="57A17EAC" w14:textId="77777777" w:rsidTr="00CE5B52">
        <w:trPr>
          <w:trHeight w:val="297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98B2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A210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分站软件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4D9E" w14:textId="77777777" w:rsidR="00CE5B52" w:rsidRDefault="00CE5B52" w:rsidP="00CE5B5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将状态通知服务器；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2、接收通信服务器的命令自动启动接收动作；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3、自动启动警铃，提示准备出动；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4、自动接收急救出车命令单；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5、自动快速显示、打印急救出车命令单；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6、自动快速显示、打印会面地点位置图；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7、保存急救出车命令单及相应地理坐标；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8、接收辅助信息，并显示、打印、存档；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9、通知中心收到信息确认；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10、急救病历回填功能；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11、运行于急救站计算机上。</w:t>
            </w:r>
          </w:p>
          <w:p w14:paraId="1BCE7227" w14:textId="77777777" w:rsidR="00CE5B52" w:rsidRDefault="00CE5B52" w:rsidP="00CE5B5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E54C5E" w:themeColor="accent6"/>
                <w:kern w:val="0"/>
                <w:sz w:val="22"/>
                <w:lang w:bidi="ar"/>
              </w:rPr>
              <w:t>12、投标人</w:t>
            </w:r>
            <w:proofErr w:type="gramStart"/>
            <w:r>
              <w:rPr>
                <w:rFonts w:ascii="宋体" w:hAnsi="宋体" w:cs="宋体" w:hint="eastAsia"/>
                <w:color w:val="E54C5E" w:themeColor="accent6"/>
                <w:kern w:val="0"/>
                <w:sz w:val="22"/>
                <w:lang w:bidi="ar"/>
              </w:rPr>
              <w:t>需承诺</w:t>
            </w:r>
            <w:proofErr w:type="gramEnd"/>
            <w:r>
              <w:rPr>
                <w:rFonts w:ascii="宋体" w:hAnsi="宋体" w:cs="宋体" w:hint="eastAsia"/>
                <w:color w:val="E54C5E" w:themeColor="accent6"/>
                <w:kern w:val="0"/>
                <w:sz w:val="22"/>
                <w:lang w:bidi="ar"/>
              </w:rPr>
              <w:t>所投分站软件可免费对接至苏州市急救中心现有调度平台，实现任务接单及分站数据查询能力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E0E25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18254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</w:tr>
      <w:tr w:rsidR="00CE5B52" w14:paraId="1034A9FB" w14:textId="77777777" w:rsidTr="00CE5B52">
        <w:trPr>
          <w:trHeight w:val="621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6221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6E12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分站监控设备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7977" w14:textId="77777777" w:rsidR="00CE5B52" w:rsidRDefault="00CE5B52" w:rsidP="00CE5B5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分站IP摄像头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1.图像传感器总像素：约248万数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2.最低照度： 彩色：0.05Lux/F1.4 黑白：0.005Lux/F1.4   0Lux（红外灯开启）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3.白平衡：自动/手动/跟踪/室外/室内/室外自动/钠灯自动/钠灯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4.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主码流分辨率及帧率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： 50Hz:25fps(1920×1080)、50fps(1280×720)、25fps(704×576)   60Hz:30fps(1920×1080)、60fps(1280×720)、30fps(704×480)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子码流分辨率及帧率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：50Hz:25fps(704×576)、25fps(352×288)   60Hz:30fps(704×480)、30fps(352×240)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5.网络协议：IPv4/IPv6,HTTP,HTTPS,802.1x,Qos,FTP,SMTP,UPnP,SNMP,DNS,DDNS,NTP,RTSP,RTP,TCP,UDP,IGMP,ICMP,DHCP,PPPoE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6.其他主要参数如下：安装方式：多种安装方式可选根据应用环境进行选择；重量： 4.0kg ； 选配支架:PFB303W(壁装,臂长255mm);PFB300C(吊装,延长杆200mm);标配电源: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标配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;球机尺寸:6寸;分辨率:200W；光学变倍：20倍；补光方式： 红外 ；产品尺寸：Φ202.0mm×325.0mm；供电方式： AC24V ；接口类型：RJ45接口；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7.售后服务：包含安装材料；</w:t>
            </w:r>
          </w:p>
          <w:p w14:paraId="5DE1844C" w14:textId="77777777" w:rsidR="00CE5B52" w:rsidRDefault="00CE5B52" w:rsidP="00CE5B5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E54C5E" w:themeColor="accent6"/>
                <w:kern w:val="0"/>
                <w:sz w:val="22"/>
                <w:lang w:bidi="ar"/>
              </w:rPr>
              <w:t>8、投标人</w:t>
            </w:r>
            <w:proofErr w:type="gramStart"/>
            <w:r>
              <w:rPr>
                <w:rFonts w:ascii="宋体" w:hAnsi="宋体" w:cs="宋体" w:hint="eastAsia"/>
                <w:color w:val="E54C5E" w:themeColor="accent6"/>
                <w:kern w:val="0"/>
                <w:sz w:val="22"/>
                <w:lang w:bidi="ar"/>
              </w:rPr>
              <w:t>需承诺</w:t>
            </w:r>
            <w:proofErr w:type="gramEnd"/>
            <w:r>
              <w:rPr>
                <w:rFonts w:ascii="宋体" w:hAnsi="宋体" w:cs="宋体" w:hint="eastAsia"/>
                <w:color w:val="E54C5E" w:themeColor="accent6"/>
                <w:kern w:val="0"/>
                <w:sz w:val="22"/>
                <w:lang w:bidi="ar"/>
              </w:rPr>
              <w:t>所投分站监控设备可免费对接至苏州市急救中心现有监控平台，实现分站监控远程调阅能力，提供承诺书，否则</w:t>
            </w:r>
            <w:proofErr w:type="gramStart"/>
            <w:r>
              <w:rPr>
                <w:rFonts w:ascii="宋体" w:hAnsi="宋体" w:cs="宋体" w:hint="eastAsia"/>
                <w:color w:val="E54C5E" w:themeColor="accent6"/>
                <w:kern w:val="0"/>
                <w:sz w:val="22"/>
                <w:lang w:bidi="ar"/>
              </w:rPr>
              <w:t>做废标处理</w:t>
            </w:r>
            <w:proofErr w:type="gramEnd"/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D4F0C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E475E" w14:textId="77777777" w:rsidR="00CE5B52" w:rsidRDefault="00CE5B52" w:rsidP="00CE5B5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</w:tr>
    </w:tbl>
    <w:p w14:paraId="4794DBC3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color w:val="000000"/>
          <w:sz w:val="21"/>
          <w:szCs w:val="21"/>
        </w:rPr>
      </w:pPr>
    </w:p>
    <w:p w14:paraId="3967C254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color w:val="000000"/>
          <w:sz w:val="21"/>
          <w:szCs w:val="21"/>
        </w:rPr>
      </w:pPr>
    </w:p>
    <w:p w14:paraId="2361C57A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color w:val="000000"/>
          <w:sz w:val="21"/>
          <w:szCs w:val="21"/>
        </w:rPr>
      </w:pPr>
    </w:p>
    <w:p w14:paraId="013C3044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color w:val="000000"/>
          <w:sz w:val="21"/>
          <w:szCs w:val="21"/>
        </w:rPr>
      </w:pPr>
    </w:p>
    <w:p w14:paraId="1083B3AA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color w:val="000000"/>
          <w:sz w:val="21"/>
          <w:szCs w:val="21"/>
        </w:rPr>
      </w:pPr>
    </w:p>
    <w:p w14:paraId="607BC720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rFonts w:hint="eastAsia"/>
          <w:color w:val="000000"/>
          <w:sz w:val="21"/>
          <w:szCs w:val="21"/>
        </w:rPr>
      </w:pPr>
    </w:p>
    <w:p w14:paraId="0656FC1E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bCs w:val="0"/>
          <w:color w:val="000000"/>
          <w:sz w:val="21"/>
          <w:szCs w:val="21"/>
        </w:rPr>
      </w:pPr>
    </w:p>
    <w:p w14:paraId="32B6EAB7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bCs w:val="0"/>
          <w:color w:val="000000"/>
          <w:sz w:val="21"/>
          <w:szCs w:val="21"/>
        </w:rPr>
      </w:pPr>
    </w:p>
    <w:p w14:paraId="6222CA21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bCs w:val="0"/>
          <w:color w:val="000000"/>
          <w:sz w:val="21"/>
          <w:szCs w:val="21"/>
        </w:rPr>
      </w:pPr>
    </w:p>
    <w:p w14:paraId="07D60894" w14:textId="77777777" w:rsidR="00614372" w:rsidRDefault="00614372" w:rsidP="00614372">
      <w:pPr>
        <w:pStyle w:val="a3"/>
        <w:shd w:val="clear" w:color="auto" w:fill="FFFFFF"/>
        <w:spacing w:before="0" w:beforeAutospacing="0" w:after="0" w:afterAutospacing="0" w:line="435" w:lineRule="atLeast"/>
        <w:ind w:left="480"/>
        <w:rPr>
          <w:rStyle w:val="a4"/>
          <w:rFonts w:hint="eastAsia"/>
          <w:bCs w:val="0"/>
          <w:color w:val="000000"/>
          <w:sz w:val="21"/>
          <w:szCs w:val="21"/>
        </w:rPr>
      </w:pPr>
    </w:p>
    <w:p w14:paraId="72E98A68" w14:textId="77777777" w:rsidR="00366F90" w:rsidRPr="00614372" w:rsidRDefault="00366F90"/>
    <w:sectPr w:rsidR="00366F90" w:rsidRPr="0061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6EAD7E"/>
    <w:multiLevelType w:val="singleLevel"/>
    <w:tmpl w:val="CB6EAD7E"/>
    <w:lvl w:ilvl="0">
      <w:start w:val="1"/>
      <w:numFmt w:val="decimal"/>
      <w:suff w:val="nothing"/>
      <w:lvlText w:val="%1、"/>
      <w:lvlJc w:val="left"/>
    </w:lvl>
  </w:abstractNum>
  <w:num w:numId="1" w16cid:durableId="156987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F90"/>
    <w:rsid w:val="00366F90"/>
    <w:rsid w:val="004845A4"/>
    <w:rsid w:val="00614372"/>
    <w:rsid w:val="00CE5B52"/>
    <w:rsid w:val="12D1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B0FFC"/>
  <w15:docId w15:val="{DD8895FE-EAC6-4A1A-91CE-12D71198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143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614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18270</dc:creator>
  <cp:lastModifiedBy>Administrator</cp:lastModifiedBy>
  <cp:revision>2</cp:revision>
  <dcterms:created xsi:type="dcterms:W3CDTF">2025-10-11T04:54:00Z</dcterms:created>
  <dcterms:modified xsi:type="dcterms:W3CDTF">2025-10-11T05:50:00Z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eyJoZGlkIjoiY2ZkZGU2YWI3MzFiNzkzYTdkNGZkYTM1MmRlNDMzZjkiLCJ1c2VySWQiOiIyNTI4OTMwNzAifQ==</vt:lpwstr>
  </property>
  <property fmtid="{D5CDD505-2E9C-101B-9397-08002B2CF9AE}" pid="4" name="ICV">
    <vt:lpwstr>F4EF61AC58AE471CBF09A35477B9B8B1_12</vt:lpwstr>
  </property>
</Properties>
</file>