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1D539">
      <w:pPr>
        <w:pStyle w:val="2"/>
        <w:numPr>
          <w:numId w:val="0"/>
        </w:numPr>
        <w:spacing w:before="156" w:line="480" w:lineRule="auto"/>
        <w:ind w:leftChars="0"/>
        <w:jc w:val="center"/>
        <w:rPr>
          <w:rFonts w:hint="default" w:ascii="宋体" w:hAnsi="宋体" w:eastAsia="宋体" w:cs="宋体"/>
          <w:bCs w:val="0"/>
          <w:sz w:val="32"/>
          <w:szCs w:val="32"/>
          <w:lang w:val="en-US" w:eastAsia="zh-CN"/>
        </w:rPr>
      </w:pPr>
      <w:r>
        <w:rPr>
          <w:rFonts w:hint="eastAsia" w:ascii="宋体" w:hAnsi="宋体" w:cs="宋体"/>
          <w:bCs w:val="0"/>
          <w:sz w:val="32"/>
          <w:szCs w:val="32"/>
        </w:rPr>
        <w:t>国家公立医院绩效监测软件</w:t>
      </w:r>
      <w:r>
        <w:rPr>
          <w:rFonts w:hint="eastAsia" w:ascii="宋体" w:hAnsi="宋体" w:cs="宋体"/>
          <w:bCs w:val="0"/>
          <w:sz w:val="32"/>
          <w:szCs w:val="32"/>
          <w:lang w:val="en-US" w:eastAsia="zh-CN"/>
        </w:rPr>
        <w:t>参数要求</w:t>
      </w:r>
    </w:p>
    <w:p w14:paraId="225BF8C4">
      <w:pPr>
        <w:pStyle w:val="2"/>
        <w:spacing w:before="156" w:line="480" w:lineRule="auto"/>
        <w:rPr>
          <w:rFonts w:ascii="宋体" w:hAnsi="宋体" w:cs="宋体"/>
          <w:bCs w:val="0"/>
          <w:sz w:val="32"/>
          <w:szCs w:val="32"/>
        </w:rPr>
      </w:pPr>
      <w:r>
        <w:rPr>
          <w:rFonts w:hint="eastAsia" w:ascii="宋体" w:hAnsi="宋体" w:cs="宋体"/>
          <w:bCs w:val="0"/>
          <w:sz w:val="32"/>
          <w:szCs w:val="32"/>
        </w:rPr>
        <w:t>公立医院绩效监测管理平台</w:t>
      </w:r>
    </w:p>
    <w:p w14:paraId="7D3B228E">
      <w:pPr>
        <w:pStyle w:val="3"/>
        <w:spacing w:line="480" w:lineRule="auto"/>
        <w:rPr>
          <w:rFonts w:ascii="宋体" w:hAnsi="宋体" w:cs="宋体"/>
          <w:sz w:val="24"/>
          <w:szCs w:val="24"/>
        </w:rPr>
      </w:pPr>
      <w:r>
        <w:rPr>
          <w:rFonts w:hint="eastAsia" w:ascii="宋体" w:hAnsi="宋体" w:cs="宋体"/>
          <w:sz w:val="24"/>
          <w:szCs w:val="24"/>
        </w:rPr>
        <w:t>国考指标库</w:t>
      </w:r>
      <w:bookmarkStart w:id="9" w:name="_GoBack"/>
      <w:bookmarkEnd w:id="9"/>
    </w:p>
    <w:p w14:paraId="2ADA2E67">
      <w:pPr>
        <w:spacing w:after="156" w:line="480" w:lineRule="auto"/>
        <w:ind w:firstLine="480" w:firstLineChars="200"/>
        <w:rPr>
          <w:rFonts w:ascii="宋体" w:hAnsi="宋体" w:cs="宋体"/>
        </w:rPr>
      </w:pPr>
      <w:r>
        <w:rPr>
          <w:rFonts w:hint="eastAsia" w:ascii="宋体" w:hAnsi="宋体" w:cs="宋体"/>
        </w:rPr>
        <w:t>三级公立医院绩效监测指标体系中，包含一级指标4个、二级指标14个、三级指标55个(定量50个，定性5个)、新增指标1个。</w:t>
      </w:r>
    </w:p>
    <w:p w14:paraId="5A25CFE9">
      <w:pPr>
        <w:spacing w:after="156" w:line="480" w:lineRule="auto"/>
        <w:ind w:firstLine="480" w:firstLineChars="200"/>
        <w:rPr>
          <w:rFonts w:ascii="宋体" w:hAnsi="宋体" w:cs="宋体"/>
        </w:rPr>
      </w:pPr>
      <w:r>
        <w:rPr>
          <w:rFonts w:hint="eastAsia" w:ascii="宋体" w:hAnsi="宋体" w:cs="宋体"/>
        </w:rPr>
        <w:t>提供一套完整的国考指标库，包含了指标属性、计量单位、指标定义等。可以根据每年国家公布的三级公立医院绩效监测操作手册动态更新国考指标库。其中包括：</w:t>
      </w:r>
    </w:p>
    <w:p w14:paraId="3E8C7F2B">
      <w:pPr>
        <w:spacing w:after="156" w:line="480" w:lineRule="auto"/>
        <w:ind w:firstLine="480" w:firstLineChars="200"/>
        <w:rPr>
          <w:rFonts w:ascii="宋体" w:hAnsi="宋体" w:cs="宋体"/>
        </w:rPr>
      </w:pPr>
      <w:r>
        <w:rPr>
          <w:rFonts w:hint="eastAsia" w:ascii="宋体" w:hAnsi="宋体" w:cs="宋体"/>
        </w:rPr>
        <w:t>1、医疗质量指标部分，共有二级指标4个，三级指标24个(国家监测指标10个)，其中定量指标22个，定性指标2个。</w:t>
      </w:r>
    </w:p>
    <w:p w14:paraId="675D8714">
      <w:pPr>
        <w:spacing w:after="156" w:line="480" w:lineRule="auto"/>
        <w:ind w:firstLine="480" w:firstLineChars="200"/>
        <w:rPr>
          <w:rFonts w:ascii="宋体" w:hAnsi="宋体" w:cs="宋体"/>
        </w:rPr>
      </w:pPr>
      <w:r>
        <w:rPr>
          <w:rFonts w:hint="eastAsia" w:ascii="宋体" w:hAnsi="宋体" w:cs="宋体"/>
        </w:rPr>
        <w:t>2、运营效率指标部分，共有二级指标4个，三级指标19个(国家监测指标9个)，其中定量指标17个，定性指标2个。</w:t>
      </w:r>
    </w:p>
    <w:p w14:paraId="6A5B6534">
      <w:pPr>
        <w:spacing w:after="156" w:line="480" w:lineRule="auto"/>
        <w:ind w:firstLine="480" w:firstLineChars="200"/>
        <w:rPr>
          <w:rFonts w:ascii="宋体" w:hAnsi="宋体" w:cs="宋体"/>
        </w:rPr>
      </w:pPr>
      <w:r>
        <w:rPr>
          <w:rFonts w:hint="eastAsia" w:ascii="宋体" w:hAnsi="宋体" w:cs="宋体"/>
        </w:rPr>
        <w:t>3、持续发展指标部分，共有二级指标4个，三级指标9个(国家监测指标4个)，其中定量指标8个，定性指标1个。</w:t>
      </w:r>
    </w:p>
    <w:p w14:paraId="7484C1E0">
      <w:pPr>
        <w:spacing w:after="156" w:line="480" w:lineRule="auto"/>
        <w:ind w:firstLine="480" w:firstLineChars="200"/>
        <w:rPr>
          <w:rFonts w:ascii="宋体" w:hAnsi="宋体" w:cs="宋体"/>
        </w:rPr>
      </w:pPr>
      <w:r>
        <w:rPr>
          <w:rFonts w:hint="eastAsia" w:ascii="宋体" w:hAnsi="宋体" w:cs="宋体"/>
        </w:rPr>
        <w:t>4、满意度评价指标部分，共有二级指标2个，三级指标3个，均为定量指标和国家监测指标。</w:t>
      </w:r>
    </w:p>
    <w:p w14:paraId="5E6AD452">
      <w:pPr>
        <w:spacing w:after="156" w:line="480" w:lineRule="auto"/>
        <w:ind w:firstLine="480" w:firstLineChars="200"/>
        <w:rPr>
          <w:rFonts w:ascii="宋体" w:hAnsi="宋体" w:cs="宋体"/>
        </w:rPr>
      </w:pPr>
      <w:r>
        <w:rPr>
          <w:rFonts w:hint="eastAsia" w:ascii="宋体" w:hAnsi="宋体" w:cs="宋体"/>
        </w:rPr>
        <w:t>5、新增指标：(增1)重点监控高值医用耗材收入占比。</w:t>
      </w:r>
    </w:p>
    <w:p w14:paraId="6B7DE9B3">
      <w:pPr>
        <w:pStyle w:val="3"/>
        <w:spacing w:line="480" w:lineRule="auto"/>
        <w:rPr>
          <w:rFonts w:ascii="宋体" w:hAnsi="宋体" w:cs="宋体"/>
          <w:sz w:val="24"/>
          <w:szCs w:val="24"/>
        </w:rPr>
      </w:pPr>
      <w:r>
        <w:rPr>
          <w:rFonts w:hint="eastAsia" w:ascii="宋体" w:hAnsi="宋体" w:cs="宋体"/>
          <w:sz w:val="24"/>
          <w:szCs w:val="24"/>
        </w:rPr>
        <w:t>数据分析子系统</w:t>
      </w:r>
    </w:p>
    <w:p w14:paraId="24268BEF">
      <w:pPr>
        <w:spacing w:after="156" w:line="480" w:lineRule="auto"/>
        <w:ind w:firstLine="480" w:firstLineChars="200"/>
        <w:rPr>
          <w:rFonts w:ascii="宋体" w:hAnsi="宋体" w:cs="宋体"/>
        </w:rPr>
      </w:pPr>
      <w:r>
        <w:rPr>
          <w:rFonts w:hint="eastAsia" w:ascii="宋体" w:hAnsi="宋体" w:cs="宋体"/>
        </w:rPr>
        <w:t>通过指标项导向，同比去年提升/降低，图表展示指标值的近1年的变化情况，将指标值的各个子项详细分析和同期对比，通过指标项的详细数据分析，对指标进行深度的剖析，帮助医院管理者寻找提高绩效的方向。</w:t>
      </w:r>
    </w:p>
    <w:p w14:paraId="7EE8CED8">
      <w:pPr>
        <w:pStyle w:val="4"/>
        <w:spacing w:line="480" w:lineRule="auto"/>
        <w:rPr>
          <w:rFonts w:ascii="宋体" w:hAnsi="宋体" w:cs="宋体"/>
          <w:sz w:val="24"/>
          <w:szCs w:val="24"/>
        </w:rPr>
      </w:pPr>
      <w:bookmarkStart w:id="0" w:name="_Toc7826"/>
      <w:r>
        <w:rPr>
          <w:rFonts w:hint="eastAsia" w:ascii="宋体" w:hAnsi="宋体" w:cs="宋体"/>
          <w:sz w:val="24"/>
          <w:szCs w:val="24"/>
        </w:rPr>
        <w:t>月度国考汇总</w:t>
      </w:r>
    </w:p>
    <w:p w14:paraId="32164074">
      <w:pPr>
        <w:spacing w:after="156" w:line="480" w:lineRule="auto"/>
        <w:ind w:firstLine="480" w:firstLineChars="200"/>
      </w:pPr>
      <w:r>
        <w:rPr>
          <w:rFonts w:hint="eastAsia"/>
        </w:rPr>
        <w:t>月度数据图</w:t>
      </w:r>
    </w:p>
    <w:p w14:paraId="74EB9AF6">
      <w:pPr>
        <w:spacing w:after="156" w:line="480" w:lineRule="auto"/>
        <w:ind w:firstLine="480" w:firstLineChars="200"/>
        <w:rPr>
          <w:rFonts w:ascii="宋体" w:hAnsi="宋体" w:cs="宋体"/>
        </w:rPr>
      </w:pPr>
      <w:r>
        <w:rPr>
          <w:rFonts w:hint="eastAsia" w:ascii="宋体" w:hAnsi="宋体" w:cs="宋体"/>
        </w:rPr>
        <w:t>通过展示国考当年月度累计得分与去年得分信息，各项指标与指标导向不符的指标项，以及得分占比雷达图，全貌展示全院本年度国考得分情况。通过国家监测指标项的同比对比，帮助医院管理者把握本年度国考绩效情况。</w:t>
      </w:r>
    </w:p>
    <w:p w14:paraId="0AE1613B">
      <w:pPr>
        <w:spacing w:after="156" w:line="480" w:lineRule="auto"/>
        <w:ind w:firstLine="480" w:firstLineChars="200"/>
      </w:pPr>
      <w:r>
        <w:rPr>
          <w:rFonts w:hint="eastAsia"/>
        </w:rPr>
        <w:t>月度数据表</w:t>
      </w:r>
    </w:p>
    <w:p w14:paraId="2661B846">
      <w:pPr>
        <w:spacing w:after="156" w:line="480" w:lineRule="auto"/>
        <w:ind w:firstLine="480" w:firstLineChars="200"/>
        <w:rPr>
          <w:rFonts w:ascii="宋体" w:hAnsi="宋体" w:cs="宋体"/>
        </w:rPr>
      </w:pPr>
      <w:r>
        <w:rPr>
          <w:rFonts w:hint="eastAsia" w:ascii="宋体" w:hAnsi="宋体" w:cs="宋体"/>
        </w:rPr>
        <w:t>通过对国考当年月度累计得分与去年得分信息，各项指标与指标导向不符的指标项，以及得分占比表等信息，全貌展示全院本年度国考得分情况。通过对国家监测指标项的同比对比，帮助医院管理者把握本年度国考绩效情况。</w:t>
      </w:r>
    </w:p>
    <w:p w14:paraId="45B30D1B">
      <w:pPr>
        <w:pStyle w:val="4"/>
        <w:spacing w:line="480" w:lineRule="auto"/>
        <w:rPr>
          <w:rFonts w:ascii="宋体" w:hAnsi="宋体" w:cs="宋体"/>
          <w:sz w:val="24"/>
          <w:szCs w:val="24"/>
        </w:rPr>
      </w:pPr>
      <w:r>
        <w:rPr>
          <w:rFonts w:hint="eastAsia" w:ascii="宋体" w:hAnsi="宋体" w:cs="宋体"/>
          <w:sz w:val="24"/>
          <w:szCs w:val="24"/>
        </w:rPr>
        <w:t>科室目标值统计分析</w:t>
      </w:r>
      <w:r>
        <w:rPr>
          <w:rFonts w:hint="eastAsia" w:ascii="宋体" w:hAnsi="宋体" w:eastAsia="宋体" w:cs="宋体"/>
          <w:kern w:val="2"/>
          <w:sz w:val="24"/>
          <w:szCs w:val="24"/>
          <w:lang w:val="en-US" w:eastAsia="zh-CN" w:bidi="ar-SA"/>
        </w:rPr>
        <w:t>★</w:t>
      </w:r>
    </w:p>
    <w:p w14:paraId="6F078A27">
      <w:pPr>
        <w:spacing w:after="156" w:line="480" w:lineRule="auto"/>
        <w:ind w:firstLine="480" w:firstLineChars="200"/>
        <w:rPr>
          <w:rFonts w:hint="eastAsia" w:ascii="宋体" w:hAnsi="宋体" w:cs="宋体"/>
        </w:rPr>
      </w:pPr>
      <w:r>
        <w:rPr>
          <w:rFonts w:hint="eastAsia" w:ascii="宋体" w:hAnsi="宋体" w:cs="宋体"/>
        </w:rPr>
        <w:t>医院对科室的重点指标可以进行年度目标值设定，根据设定的目标值，展示重点指标在科室维度的详细统计分析。</w:t>
      </w:r>
      <w:bookmarkEnd w:id="0"/>
      <w:bookmarkStart w:id="1" w:name="_Toc21194"/>
    </w:p>
    <w:p w14:paraId="5907F3F5">
      <w:pPr>
        <w:pStyle w:val="3"/>
        <w:bidi w:val="0"/>
        <w:ind w:left="567" w:leftChars="0" w:hanging="567"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国考得分预测★</w:t>
      </w:r>
    </w:p>
    <w:p w14:paraId="16BA76D1">
      <w:pPr>
        <w:pStyle w:val="4"/>
        <w:numPr>
          <w:ilvl w:val="2"/>
          <w:numId w:val="0"/>
        </w:numPr>
        <w:spacing w:line="480" w:lineRule="auto"/>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历年的国考评分标准，提供本年度国考得分预测。在上传国家卫生健康委公立医院绩效监测管理平台之前，先在医院内部针对国家监测指标项进行模拟评分，通过数据分析和计算得分，大致评估当年的国考情况，给医院一个相对清晰的评级，让医院在之后的绩效管理中有所加强，帮助医院在国考上展现出有效且更高的标准。可根据选择的年份及批次显示对应的详细批次数据。</w:t>
      </w:r>
    </w:p>
    <w:p w14:paraId="4A1E2AEC">
      <w:pPr>
        <w:pStyle w:val="3"/>
        <w:spacing w:line="480" w:lineRule="auto"/>
        <w:rPr>
          <w:rFonts w:ascii="宋体" w:hAnsi="宋体" w:cs="宋体"/>
          <w:sz w:val="24"/>
          <w:szCs w:val="24"/>
        </w:rPr>
      </w:pPr>
      <w:r>
        <w:rPr>
          <w:rFonts w:hint="eastAsia" w:ascii="宋体" w:hAnsi="宋体" w:cs="宋体"/>
          <w:sz w:val="24"/>
          <w:szCs w:val="24"/>
        </w:rPr>
        <w:t>考核目标管理</w:t>
      </w:r>
      <w:bookmarkEnd w:id="1"/>
      <w:r>
        <w:rPr>
          <w:rFonts w:hint="eastAsia" w:ascii="宋体" w:hAnsi="宋体" w:eastAsia="宋体" w:cs="宋体"/>
          <w:kern w:val="2"/>
          <w:sz w:val="24"/>
          <w:szCs w:val="24"/>
          <w:lang w:val="en-US" w:eastAsia="zh-CN" w:bidi="ar-SA"/>
        </w:rPr>
        <w:t>★</w:t>
      </w:r>
    </w:p>
    <w:p w14:paraId="09BE3207">
      <w:pPr>
        <w:pStyle w:val="4"/>
        <w:numPr>
          <w:ilvl w:val="2"/>
          <w:numId w:val="0"/>
        </w:numPr>
        <w:spacing w:line="480" w:lineRule="auto"/>
        <w:ind w:firstLine="480" w:firstLineChars="200"/>
        <w:rPr>
          <w:rFonts w:ascii="宋体" w:hAnsi="宋体" w:cs="宋体"/>
          <w:sz w:val="24"/>
          <w:szCs w:val="24"/>
        </w:rPr>
      </w:pPr>
      <w:r>
        <w:rPr>
          <w:rFonts w:hint="eastAsia" w:ascii="宋体" w:hAnsi="宋体" w:cs="宋体"/>
          <w:sz w:val="24"/>
          <w:szCs w:val="24"/>
        </w:rPr>
        <w:t>对指标编码、指标名称、单位、满分值标准、去年考核目标值、本年考核目标值等内容进行管理。</w:t>
      </w:r>
    </w:p>
    <w:p w14:paraId="6C7DAA5F">
      <w:pPr>
        <w:pStyle w:val="3"/>
        <w:spacing w:line="480" w:lineRule="auto"/>
      </w:pPr>
      <w:bookmarkStart w:id="2" w:name="_Toc25685"/>
      <w:bookmarkStart w:id="3" w:name="_Toc18156"/>
      <w:bookmarkStart w:id="4" w:name="_Toc16481"/>
      <w:bookmarkStart w:id="5" w:name="_Toc21036"/>
      <w:bookmarkStart w:id="6" w:name="_Toc30906"/>
      <w:bookmarkStart w:id="7" w:name="_Toc16615"/>
      <w:bookmarkStart w:id="8" w:name="_Toc14101"/>
      <w:r>
        <w:rPr>
          <w:rFonts w:hint="eastAsia" w:ascii="宋体" w:hAnsi="宋体" w:cs="宋体"/>
          <w:sz w:val="24"/>
          <w:szCs w:val="24"/>
        </w:rPr>
        <w:t>月度数据导入</w:t>
      </w:r>
      <w:bookmarkEnd w:id="2"/>
      <w:bookmarkEnd w:id="3"/>
    </w:p>
    <w:p w14:paraId="03696AC5">
      <w:pPr>
        <w:spacing w:after="156" w:line="480" w:lineRule="auto"/>
        <w:ind w:firstLine="480" w:firstLineChars="200"/>
        <w:rPr>
          <w:rFonts w:ascii="宋体" w:hAnsi="宋体" w:cs="宋体"/>
        </w:rPr>
      </w:pPr>
      <w:r>
        <w:rPr>
          <w:rFonts w:hint="eastAsia" w:ascii="宋体" w:hAnsi="宋体" w:cs="宋体"/>
        </w:rPr>
        <w:t>为需要通过管理报表提供的考核数据，提供报表导入功能。同时，作为数据导入以及自动化采集数据的结果查询与核对。</w:t>
      </w:r>
    </w:p>
    <w:p w14:paraId="4630CB93">
      <w:pPr>
        <w:pStyle w:val="3"/>
        <w:spacing w:line="480" w:lineRule="auto"/>
        <w:rPr>
          <w:rFonts w:ascii="宋体" w:hAnsi="宋体" w:cs="宋体"/>
          <w:sz w:val="24"/>
          <w:szCs w:val="24"/>
        </w:rPr>
      </w:pPr>
      <w:r>
        <w:rPr>
          <w:rFonts w:hint="eastAsia" w:ascii="宋体" w:hAnsi="宋体" w:cs="宋体"/>
          <w:sz w:val="24"/>
          <w:szCs w:val="24"/>
        </w:rPr>
        <w:t>运营驾驶舱</w:t>
      </w:r>
      <w:bookmarkEnd w:id="4"/>
    </w:p>
    <w:p w14:paraId="5E95202D">
      <w:pPr>
        <w:pStyle w:val="4"/>
        <w:spacing w:line="480" w:lineRule="auto"/>
        <w:rPr>
          <w:rFonts w:ascii="宋体" w:hAnsi="宋体" w:cs="宋体"/>
          <w:sz w:val="24"/>
          <w:szCs w:val="24"/>
        </w:rPr>
      </w:pPr>
      <w:r>
        <w:rPr>
          <w:rFonts w:hint="eastAsia" w:ascii="宋体" w:hAnsi="宋体" w:cs="宋体"/>
          <w:sz w:val="24"/>
          <w:szCs w:val="24"/>
        </w:rPr>
        <w:t>驾驶舱大屏</w:t>
      </w:r>
    </w:p>
    <w:p w14:paraId="62F89D95">
      <w:pPr>
        <w:spacing w:after="156" w:line="480" w:lineRule="auto"/>
        <w:ind w:firstLine="480" w:firstLineChars="200"/>
        <w:rPr>
          <w:rFonts w:ascii="宋体" w:hAnsi="宋体" w:cs="宋体"/>
        </w:rPr>
      </w:pPr>
      <w:r>
        <w:rPr>
          <w:rFonts w:hint="eastAsia" w:ascii="宋体" w:hAnsi="宋体" w:cs="宋体"/>
        </w:rPr>
        <w:t>集成整合系统数据，展示在院患者手术台次、在院患者微创手术台次、</w:t>
      </w:r>
      <w:r>
        <w:rPr>
          <w:rFonts w:ascii="宋体" w:hAnsi="宋体" w:cs="宋体"/>
        </w:rPr>
        <w:t>在院患者四级手术台次</w:t>
      </w:r>
      <w:r>
        <w:rPr>
          <w:rFonts w:hint="eastAsia" w:ascii="宋体" w:hAnsi="宋体" w:cs="宋体"/>
        </w:rPr>
        <w:t>关键指标（T+1），助力医院高效管理。</w:t>
      </w:r>
    </w:p>
    <w:p w14:paraId="679D407D">
      <w:pPr>
        <w:pStyle w:val="4"/>
        <w:spacing w:line="480" w:lineRule="auto"/>
        <w:rPr>
          <w:rFonts w:ascii="宋体" w:hAnsi="宋体" w:cs="宋体"/>
          <w:sz w:val="24"/>
          <w:szCs w:val="24"/>
        </w:rPr>
      </w:pPr>
      <w:r>
        <w:rPr>
          <w:rFonts w:hint="eastAsia" w:ascii="宋体" w:hAnsi="宋体" w:cs="宋体"/>
          <w:sz w:val="24"/>
          <w:szCs w:val="24"/>
        </w:rPr>
        <w:t>运营数据分析</w:t>
      </w:r>
    </w:p>
    <w:p w14:paraId="5A4CBF2E">
      <w:pPr>
        <w:spacing w:after="156" w:line="480" w:lineRule="auto"/>
        <w:ind w:firstLine="480" w:firstLineChars="200"/>
        <w:rPr>
          <w:rFonts w:ascii="宋体" w:hAnsi="宋体" w:cs="宋体"/>
        </w:rPr>
      </w:pPr>
      <w:r>
        <w:rPr>
          <w:rFonts w:hint="eastAsia" w:ascii="宋体" w:hAnsi="宋体" w:cs="宋体"/>
        </w:rPr>
        <w:t>从指标项科室的维度汇总在院患者手术台次</w:t>
      </w:r>
      <w:r>
        <w:rPr>
          <w:rFonts w:hint="eastAsia" w:ascii="宋体" w:hAnsi="宋体" w:cs="宋体"/>
          <w:lang w:eastAsia="zh-CN"/>
        </w:rPr>
        <w:t>、</w:t>
      </w:r>
      <w:r>
        <w:rPr>
          <w:rFonts w:hint="eastAsia" w:ascii="宋体" w:hAnsi="宋体" w:cs="宋体"/>
        </w:rPr>
        <w:t>在院患者微创手术台次</w:t>
      </w:r>
      <w:r>
        <w:rPr>
          <w:rFonts w:hint="eastAsia" w:ascii="宋体" w:hAnsi="宋体" w:cs="宋体"/>
          <w:lang w:eastAsia="zh-CN"/>
        </w:rPr>
        <w:t>、</w:t>
      </w:r>
      <w:r>
        <w:rPr>
          <w:rFonts w:ascii="宋体" w:hAnsi="宋体" w:cs="宋体"/>
        </w:rPr>
        <w:t>在院患者四级手术台次</w:t>
      </w:r>
      <w:r>
        <w:rPr>
          <w:rFonts w:hint="eastAsia" w:ascii="宋体" w:hAnsi="宋体" w:cs="宋体"/>
        </w:rPr>
        <w:t>的T+1数据，方便主管部门定位各个科室的绩效情况；提供实时的科室结果汇总数据查询，从而为各个科室的绩效起到数据支撑作用。</w:t>
      </w:r>
    </w:p>
    <w:p w14:paraId="10C71D39">
      <w:pPr>
        <w:spacing w:after="156" w:line="480" w:lineRule="auto"/>
        <w:ind w:firstLine="480" w:firstLineChars="200"/>
        <w:rPr>
          <w:rFonts w:ascii="宋体" w:hAnsi="宋体" w:cs="宋体"/>
        </w:rPr>
      </w:pPr>
      <w:r>
        <w:rPr>
          <w:rFonts w:hint="eastAsia" w:ascii="宋体" w:hAnsi="宋体" w:cs="宋体"/>
        </w:rPr>
        <w:t>数据指标：</w:t>
      </w:r>
    </w:p>
    <w:p w14:paraId="71F98A4E">
      <w:pPr>
        <w:spacing w:after="156" w:line="480" w:lineRule="auto"/>
        <w:ind w:firstLine="480" w:firstLineChars="200"/>
        <w:rPr>
          <w:rFonts w:ascii="宋体" w:hAnsi="宋体" w:cs="宋体"/>
        </w:rPr>
      </w:pPr>
      <w:r>
        <w:rPr>
          <w:rFonts w:hint="eastAsia" w:ascii="宋体" w:hAnsi="宋体" w:cs="宋体"/>
        </w:rPr>
        <w:t>在院患者手术台次（T+1）：指标抓取计算数据为手术例数。大屏显示指标占比、分子、分母、同比等数据信息。</w:t>
      </w:r>
    </w:p>
    <w:p w14:paraId="30265F06">
      <w:pPr>
        <w:spacing w:after="156" w:line="480" w:lineRule="auto"/>
        <w:ind w:firstLine="480" w:firstLineChars="200"/>
        <w:rPr>
          <w:rFonts w:ascii="宋体" w:hAnsi="宋体" w:cs="宋体"/>
        </w:rPr>
      </w:pPr>
      <w:r>
        <w:rPr>
          <w:rFonts w:hint="eastAsia" w:ascii="宋体" w:hAnsi="宋体" w:cs="宋体"/>
        </w:rPr>
        <w:t>在院患者微创手术台次（T+1）：指标抓取计算数据为微创例数。大屏显示指标占比、分子、分母、同比等数据信息。</w:t>
      </w:r>
    </w:p>
    <w:p w14:paraId="4344E89E">
      <w:pPr>
        <w:spacing w:after="156" w:line="480" w:lineRule="auto"/>
        <w:ind w:firstLine="480" w:firstLineChars="200"/>
        <w:rPr>
          <w:rFonts w:ascii="宋体" w:hAnsi="宋体" w:cs="宋体"/>
        </w:rPr>
      </w:pPr>
      <w:r>
        <w:rPr>
          <w:rFonts w:ascii="宋体" w:hAnsi="宋体" w:cs="宋体"/>
        </w:rPr>
        <w:t>在院患者四级手术台次</w:t>
      </w:r>
      <w:r>
        <w:rPr>
          <w:rFonts w:hint="eastAsia" w:ascii="宋体" w:hAnsi="宋体" w:cs="宋体"/>
        </w:rPr>
        <w:t>（T+1）：指标抓取计算数据为四级例数。大屏显示指标占比、分子、分母、同比等数据信息。</w:t>
      </w:r>
    </w:p>
    <w:p w14:paraId="43F57EE0">
      <w:pPr>
        <w:pStyle w:val="3"/>
        <w:spacing w:line="480" w:lineRule="auto"/>
        <w:rPr>
          <w:rFonts w:ascii="宋体" w:hAnsi="宋体" w:cs="宋体"/>
          <w:sz w:val="24"/>
          <w:szCs w:val="24"/>
        </w:rPr>
      </w:pPr>
      <w:r>
        <w:rPr>
          <w:rFonts w:hint="eastAsia" w:ascii="宋体" w:hAnsi="宋体" w:cs="宋体"/>
          <w:sz w:val="24"/>
          <w:szCs w:val="24"/>
        </w:rPr>
        <w:t>逻辑性校验规则管理/合理性校验规则管理</w:t>
      </w:r>
      <w:r>
        <w:rPr>
          <w:rFonts w:hint="eastAsia" w:ascii="宋体" w:hAnsi="宋体" w:eastAsia="宋体" w:cs="宋体"/>
          <w:kern w:val="2"/>
          <w:sz w:val="24"/>
          <w:szCs w:val="24"/>
          <w:lang w:val="en-US" w:eastAsia="zh-CN" w:bidi="ar-SA"/>
        </w:rPr>
        <w:t>★</w:t>
      </w:r>
    </w:p>
    <w:p w14:paraId="6C26EB6D">
      <w:pPr>
        <w:pStyle w:val="3"/>
        <w:numPr>
          <w:ilvl w:val="1"/>
          <w:numId w:val="0"/>
        </w:numPr>
        <w:spacing w:line="480" w:lineRule="auto"/>
        <w:ind w:firstLine="480" w:firstLineChars="200"/>
        <w:rPr>
          <w:rFonts w:ascii="宋体" w:hAnsi="宋体" w:cs="宋体"/>
        </w:rPr>
      </w:pPr>
      <w:r>
        <w:rPr>
          <w:rFonts w:hint="eastAsia" w:ascii="宋体" w:hAnsi="宋体" w:cs="宋体"/>
          <w:sz w:val="24"/>
          <w:szCs w:val="24"/>
        </w:rPr>
        <w:t>对国考病案首页的校验规则和校验说明进行管理。</w:t>
      </w:r>
      <w:bookmarkEnd w:id="5"/>
      <w:bookmarkEnd w:id="6"/>
      <w:bookmarkEnd w:id="7"/>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12742"/>
    <w:multiLevelType w:val="multilevel"/>
    <w:tmpl w:val="9D512742"/>
    <w:lvl w:ilvl="0" w:tentative="0">
      <w:start w:val="1"/>
      <w:numFmt w:val="decimal"/>
      <w:pStyle w:val="2"/>
      <w:lvlText w:val="%1."/>
      <w:lvlJc w:val="left"/>
      <w:pPr>
        <w:ind w:left="425" w:hanging="425"/>
      </w:pPr>
      <w:rPr>
        <w:rFonts w:hint="default" w:ascii="宋体" w:hAnsi="宋体" w:eastAsia="宋体" w:cs="宋体"/>
      </w:rPr>
    </w:lvl>
    <w:lvl w:ilvl="1" w:tentative="0">
      <w:start w:val="1"/>
      <w:numFmt w:val="decimal"/>
      <w:pStyle w:val="3"/>
      <w:lvlText w:val="%1.%2."/>
      <w:lvlJc w:val="left"/>
      <w:pPr>
        <w:ind w:left="567" w:hanging="567"/>
      </w:pPr>
      <w:rPr>
        <w:rFonts w:hint="default" w:ascii="宋体" w:hAnsi="宋体" w:eastAsia="宋体" w:cs="宋体"/>
        <w:sz w:val="24"/>
        <w:szCs w:val="24"/>
      </w:rPr>
    </w:lvl>
    <w:lvl w:ilvl="2" w:tentative="0">
      <w:start w:val="1"/>
      <w:numFmt w:val="decimal"/>
      <w:pStyle w:val="4"/>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微软雅黑" w:hAnsi="微软雅黑" w:eastAsia="微软雅黑"/>
      </w:rPr>
    </w:lvl>
    <w:lvl w:ilvl="4" w:tentative="0">
      <w:start w:val="1"/>
      <w:numFmt w:val="decimal"/>
      <w:lvlText w:val="%1.%2.%3.%4.%5."/>
      <w:lvlJc w:val="left"/>
      <w:pPr>
        <w:ind w:left="991" w:hanging="991"/>
      </w:pPr>
      <w:rPr>
        <w:rFonts w:hint="default" w:ascii="微软雅黑" w:hAnsi="微软雅黑" w:eastAsia="微软雅黑"/>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DE5458"/>
    <w:rsid w:val="00027E49"/>
    <w:rsid w:val="000E0733"/>
    <w:rsid w:val="002C115A"/>
    <w:rsid w:val="003455B5"/>
    <w:rsid w:val="003671AC"/>
    <w:rsid w:val="006012F0"/>
    <w:rsid w:val="006E60D6"/>
    <w:rsid w:val="00991579"/>
    <w:rsid w:val="009D1519"/>
    <w:rsid w:val="009E20D7"/>
    <w:rsid w:val="00AB7CED"/>
    <w:rsid w:val="00B030DD"/>
    <w:rsid w:val="049B5BF1"/>
    <w:rsid w:val="08265EF8"/>
    <w:rsid w:val="10F13399"/>
    <w:rsid w:val="10FC3104"/>
    <w:rsid w:val="154C6303"/>
    <w:rsid w:val="183046A0"/>
    <w:rsid w:val="194F397E"/>
    <w:rsid w:val="2100787B"/>
    <w:rsid w:val="21FD6108"/>
    <w:rsid w:val="27910BE6"/>
    <w:rsid w:val="3A667E62"/>
    <w:rsid w:val="3C4508EA"/>
    <w:rsid w:val="41625FCF"/>
    <w:rsid w:val="487B2AC6"/>
    <w:rsid w:val="4A297D18"/>
    <w:rsid w:val="4CDE5458"/>
    <w:rsid w:val="4D4378D2"/>
    <w:rsid w:val="511D1A49"/>
    <w:rsid w:val="54886D3A"/>
    <w:rsid w:val="56CF466F"/>
    <w:rsid w:val="56D928A3"/>
    <w:rsid w:val="5C5B0F62"/>
    <w:rsid w:val="609D7206"/>
    <w:rsid w:val="6EA563D0"/>
    <w:rsid w:val="73A11470"/>
    <w:rsid w:val="792B7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after="50" w:afterLines="50" w:line="312" w:lineRule="auto"/>
      <w:jc w:val="both"/>
    </w:pPr>
    <w:rPr>
      <w:rFonts w:eastAsia="宋体" w:asciiTheme="minorHAnsi" w:hAnsiTheme="minorHAnsi" w:cstheme="minorBidi"/>
      <w:kern w:val="2"/>
      <w:sz w:val="24"/>
      <w:szCs w:val="24"/>
      <w:lang w:val="en-US" w:eastAsia="zh-CN" w:bidi="ar-SA"/>
    </w:rPr>
  </w:style>
  <w:style w:type="paragraph" w:styleId="2">
    <w:name w:val="heading 1"/>
    <w:next w:val="1"/>
    <w:qFormat/>
    <w:uiPriority w:val="9"/>
    <w:pPr>
      <w:keepNext/>
      <w:keepLines/>
      <w:numPr>
        <w:ilvl w:val="0"/>
        <w:numId w:val="1"/>
      </w:numPr>
      <w:tabs>
        <w:tab w:val="left" w:pos="0"/>
      </w:tabs>
      <w:spacing w:before="50" w:beforeLines="50" w:line="288" w:lineRule="auto"/>
      <w:outlineLvl w:val="0"/>
    </w:pPr>
    <w:rPr>
      <w:rFonts w:ascii="Arial" w:hAnsi="Arial" w:eastAsia="宋体" w:cstheme="minorBidi"/>
      <w:bCs/>
      <w:kern w:val="44"/>
      <w:sz w:val="28"/>
      <w:lang w:val="en-US" w:eastAsia="zh-CN" w:bidi="ar-SA"/>
    </w:rPr>
  </w:style>
  <w:style w:type="paragraph" w:styleId="3">
    <w:name w:val="heading 2"/>
    <w:next w:val="1"/>
    <w:unhideWhenUsed/>
    <w:qFormat/>
    <w:uiPriority w:val="9"/>
    <w:pPr>
      <w:numPr>
        <w:ilvl w:val="1"/>
        <w:numId w:val="1"/>
      </w:numPr>
      <w:tabs>
        <w:tab w:val="left" w:pos="0"/>
      </w:tabs>
      <w:spacing w:before="50" w:after="50"/>
      <w:outlineLvl w:val="1"/>
    </w:pPr>
    <w:rPr>
      <w:rFonts w:ascii="Arial" w:hAnsi="Arial" w:eastAsia="宋体" w:cstheme="minorBidi"/>
      <w:kern w:val="2"/>
      <w:sz w:val="28"/>
      <w:lang w:val="en-US" w:eastAsia="zh-CN" w:bidi="ar-SA"/>
    </w:rPr>
  </w:style>
  <w:style w:type="paragraph" w:styleId="4">
    <w:name w:val="heading 3"/>
    <w:next w:val="1"/>
    <w:unhideWhenUsed/>
    <w:qFormat/>
    <w:uiPriority w:val="9"/>
    <w:pPr>
      <w:numPr>
        <w:ilvl w:val="2"/>
        <w:numId w:val="1"/>
      </w:numPr>
      <w:tabs>
        <w:tab w:val="left" w:pos="312"/>
      </w:tabs>
      <w:outlineLvl w:val="2"/>
    </w:pPr>
    <w:rPr>
      <w:rFonts w:ascii="Arial" w:hAnsi="Arial" w:eastAsia="宋体" w:cstheme="minorBidi"/>
      <w:kern w:val="2"/>
      <w:sz w:val="28"/>
      <w:szCs w:val="3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before="100" w:after="100" w:afterLines="0"/>
      <w:ind w:firstLine="1041" w:firstLineChars="200"/>
    </w:pPr>
  </w:style>
  <w:style w:type="paragraph" w:customStyle="1" w:styleId="8">
    <w:name w:val="修订1"/>
    <w:hidden/>
    <w:unhideWhenUsed/>
    <w:qFormat/>
    <w:uiPriority w:val="99"/>
    <w:rPr>
      <w:rFonts w:eastAsia="宋体" w:asciiTheme="minorHAnsi" w:hAnsiTheme="minorHAnsi" w:cstheme="minorBidi"/>
      <w:kern w:val="2"/>
      <w:sz w:val="24"/>
      <w:szCs w:val="24"/>
      <w:lang w:val="en-US" w:eastAsia="zh-CN" w:bidi="ar-SA"/>
    </w:rPr>
  </w:style>
  <w:style w:type="paragraph" w:customStyle="1" w:styleId="9">
    <w:name w:val="正文（段落）"/>
    <w:basedOn w:val="1"/>
    <w:autoRedefine/>
    <w:qFormat/>
    <w:uiPriority w:val="0"/>
    <w:pPr>
      <w:spacing w:line="360" w:lineRule="auto"/>
      <w:ind w:firstLine="480" w:firstLineChars="200"/>
    </w:pPr>
    <w:rPr>
      <w:kern w:val="0"/>
      <w:lang w:val="zh-CN"/>
    </w:rPr>
  </w:style>
  <w:style w:type="paragraph" w:customStyle="1" w:styleId="10">
    <w:name w:val="Revision"/>
    <w:hidden/>
    <w:unhideWhenUsed/>
    <w:qFormat/>
    <w:uiPriority w:val="99"/>
    <w:rPr>
      <w:rFonts w:eastAsia="宋体" w:asciiTheme="minorHAnsi"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1402</Words>
  <Characters>1421</Characters>
  <Lines>8</Lines>
  <Paragraphs>2</Paragraphs>
  <TotalTime>2</TotalTime>
  <ScaleCrop>false</ScaleCrop>
  <LinksUpToDate>false</LinksUpToDate>
  <CharactersWithSpaces>1421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2025-08-15T08:32:00Z</dcterms:created>
  <dc:creator>魏</dc:creator>
  <cp:lastModifiedBy>橘子桔子橘</cp:lastModifiedBy>
  <dcterms:modified xsi:type="dcterms:W3CDTF">2025-11-19T00:47:01Z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7371442861A84525BE65756C53716524_13</vt:lpwstr>
  </property>
  <property fmtid="{D5CDD505-2E9C-101B-9397-08002B2CF9AE}" pid="4" name="KSOTemplateDocerSaveRecord">
    <vt:lpwstr>eyJoZGlkIjoiODhjZjJmYTU2OGNiNGMwNDY4ZGU1YTU0MWY1NDAyMmYiLCJ1c2VySWQiOiIxMDE1NDUyMDMwIn0=</vt:lpwstr>
  </property>
</Properties>
</file>