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E3311">
      <w:pPr>
        <w:pStyle w:val="2"/>
        <w:rPr>
          <w:color w:val="000000" w:themeColor="text1"/>
          <w14:textFill>
            <w14:solidFill>
              <w14:schemeClr w14:val="tx1"/>
            </w14:solidFill>
          </w14:textFill>
        </w:rPr>
      </w:pPr>
      <w:r>
        <w:rPr>
          <w:rFonts w:hint="eastAsia"/>
          <w:color w:val="000000" w:themeColor="text1"/>
          <w:sz w:val="36"/>
          <w:szCs w:val="36"/>
          <w14:textFill>
            <w14:solidFill>
              <w14:schemeClr w14:val="tx1"/>
            </w14:solidFill>
          </w14:textFill>
        </w:rPr>
        <w:t>手术行为管理及重症手术室系统维保服务</w:t>
      </w:r>
      <w:r>
        <w:rPr>
          <w:rFonts w:hint="eastAsia"/>
          <w:color w:val="000000" w:themeColor="text1"/>
          <w:sz w:val="36"/>
          <w:szCs w:val="36"/>
          <w:lang w:val="en-US" w:eastAsia="zh-CN"/>
          <w14:textFill>
            <w14:solidFill>
              <w14:schemeClr w14:val="tx1"/>
            </w14:solidFill>
          </w14:textFill>
        </w:rPr>
        <w:t>项目</w:t>
      </w:r>
      <w:r>
        <w:rPr>
          <w:rFonts w:hint="eastAsia"/>
          <w:color w:val="000000" w:themeColor="text1"/>
          <w:sz w:val="36"/>
          <w:szCs w:val="36"/>
          <w14:textFill>
            <w14:solidFill>
              <w14:schemeClr w14:val="tx1"/>
            </w14:solidFill>
          </w14:textFill>
        </w:rPr>
        <w:t>要求</w:t>
      </w:r>
    </w:p>
    <w:p w14:paraId="5429D8DC">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项目名称：</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麻醉系统重症系统行为管理系统维护。</w:t>
      </w:r>
    </w:p>
    <w:p w14:paraId="647146E9">
      <w:pPr>
        <w:rPr>
          <w:rFonts w:ascii="宋体" w:hAnsi="宋体" w:cs="宋体"/>
          <w:color w:val="000000" w:themeColor="text1"/>
          <w:sz w:val="24"/>
          <w14:textFill>
            <w14:solidFill>
              <w14:schemeClr w14:val="tx1"/>
            </w14:solidFill>
          </w14:textFill>
        </w:rPr>
      </w:pPr>
    </w:p>
    <w:p w14:paraId="68BA546D">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服务内容：供应商提供麻醉系统重</w:t>
      </w:r>
      <w:bookmarkStart w:id="0" w:name="_GoBack"/>
      <w:bookmarkEnd w:id="0"/>
      <w:r>
        <w:rPr>
          <w:rFonts w:hint="eastAsia" w:ascii="宋体" w:hAnsi="宋体" w:cs="宋体"/>
          <w:color w:val="000000" w:themeColor="text1"/>
          <w:sz w:val="24"/>
          <w14:textFill>
            <w14:solidFill>
              <w14:schemeClr w14:val="tx1"/>
            </w14:solidFill>
          </w14:textFill>
        </w:rPr>
        <w:t>症系统行为管理系统运维服务。</w:t>
      </w:r>
    </w:p>
    <w:p w14:paraId="3BFA39AB">
      <w:pPr>
        <w:spacing w:line="360" w:lineRule="auto"/>
        <w:ind w:firstLine="480" w:firstLineChars="200"/>
        <w:rPr>
          <w:rFonts w:ascii="宋体" w:hAnsi="宋体" w:cs="宋体"/>
          <w:color w:val="000000"/>
          <w:sz w:val="24"/>
        </w:rPr>
      </w:pPr>
    </w:p>
    <w:tbl>
      <w:tblPr>
        <w:tblStyle w:val="5"/>
        <w:tblW w:w="8505" w:type="dxa"/>
        <w:tblInd w:w="-10" w:type="dxa"/>
        <w:tblLayout w:type="autofit"/>
        <w:tblCellMar>
          <w:top w:w="0" w:type="dxa"/>
          <w:left w:w="108" w:type="dxa"/>
          <w:bottom w:w="0" w:type="dxa"/>
          <w:right w:w="108" w:type="dxa"/>
        </w:tblCellMar>
      </w:tblPr>
      <w:tblGrid>
        <w:gridCol w:w="566"/>
        <w:gridCol w:w="1953"/>
        <w:gridCol w:w="1733"/>
        <w:gridCol w:w="993"/>
        <w:gridCol w:w="1134"/>
        <w:gridCol w:w="2126"/>
      </w:tblGrid>
      <w:tr w14:paraId="1662D310">
        <w:tblPrEx>
          <w:tblCellMar>
            <w:top w:w="0" w:type="dxa"/>
            <w:left w:w="108" w:type="dxa"/>
            <w:bottom w:w="0" w:type="dxa"/>
            <w:right w:w="108" w:type="dxa"/>
          </w:tblCellMar>
        </w:tblPrEx>
        <w:trPr>
          <w:trHeight w:val="290" w:hRule="atLeast"/>
        </w:trPr>
        <w:tc>
          <w:tcPr>
            <w:tcW w:w="566" w:type="dxa"/>
            <w:tcBorders>
              <w:top w:val="single" w:color="auto" w:sz="8" w:space="0"/>
              <w:left w:val="single" w:color="auto" w:sz="8" w:space="0"/>
              <w:bottom w:val="single" w:color="auto" w:sz="8" w:space="0"/>
              <w:right w:val="single" w:color="auto" w:sz="8" w:space="0"/>
            </w:tcBorders>
            <w:shd w:val="clear" w:color="auto" w:fill="auto"/>
            <w:vAlign w:val="center"/>
          </w:tcPr>
          <w:p w14:paraId="27CAE251">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序号</w:t>
            </w:r>
          </w:p>
        </w:tc>
        <w:tc>
          <w:tcPr>
            <w:tcW w:w="1953" w:type="dxa"/>
            <w:tcBorders>
              <w:top w:val="single" w:color="auto" w:sz="8" w:space="0"/>
              <w:left w:val="nil"/>
              <w:bottom w:val="single" w:color="auto" w:sz="8" w:space="0"/>
              <w:right w:val="single" w:color="auto" w:sz="8" w:space="0"/>
            </w:tcBorders>
            <w:shd w:val="clear" w:color="auto" w:fill="auto"/>
            <w:vAlign w:val="center"/>
          </w:tcPr>
          <w:p w14:paraId="2D58F58C">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系统名称</w:t>
            </w:r>
          </w:p>
        </w:tc>
        <w:tc>
          <w:tcPr>
            <w:tcW w:w="1733" w:type="dxa"/>
            <w:tcBorders>
              <w:top w:val="single" w:color="auto" w:sz="8" w:space="0"/>
              <w:left w:val="nil"/>
              <w:bottom w:val="single" w:color="auto" w:sz="8" w:space="0"/>
              <w:right w:val="single" w:color="auto" w:sz="8" w:space="0"/>
            </w:tcBorders>
            <w:shd w:val="clear" w:color="auto" w:fill="auto"/>
            <w:vAlign w:val="center"/>
          </w:tcPr>
          <w:p w14:paraId="48D0D792">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品牌</w:t>
            </w:r>
          </w:p>
        </w:tc>
        <w:tc>
          <w:tcPr>
            <w:tcW w:w="993" w:type="dxa"/>
            <w:tcBorders>
              <w:top w:val="single" w:color="auto" w:sz="8" w:space="0"/>
              <w:left w:val="nil"/>
              <w:bottom w:val="single" w:color="auto" w:sz="8" w:space="0"/>
              <w:right w:val="single" w:color="auto" w:sz="8" w:space="0"/>
            </w:tcBorders>
            <w:shd w:val="clear" w:color="auto" w:fill="auto"/>
            <w:vAlign w:val="center"/>
          </w:tcPr>
          <w:p w14:paraId="0EEAE278">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数量</w:t>
            </w:r>
          </w:p>
        </w:tc>
        <w:tc>
          <w:tcPr>
            <w:tcW w:w="1134" w:type="dxa"/>
            <w:tcBorders>
              <w:top w:val="single" w:color="auto" w:sz="8" w:space="0"/>
              <w:left w:val="nil"/>
              <w:bottom w:val="single" w:color="auto" w:sz="8" w:space="0"/>
              <w:right w:val="single" w:color="auto" w:sz="8" w:space="0"/>
            </w:tcBorders>
            <w:shd w:val="clear" w:color="auto" w:fill="auto"/>
            <w:vAlign w:val="center"/>
          </w:tcPr>
          <w:p w14:paraId="63FED4AE">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单位</w:t>
            </w:r>
          </w:p>
        </w:tc>
        <w:tc>
          <w:tcPr>
            <w:tcW w:w="2126" w:type="dxa"/>
            <w:tcBorders>
              <w:top w:val="single" w:color="auto" w:sz="8" w:space="0"/>
              <w:left w:val="nil"/>
              <w:bottom w:val="single" w:color="auto" w:sz="8" w:space="0"/>
              <w:right w:val="single" w:color="auto" w:sz="8" w:space="0"/>
            </w:tcBorders>
            <w:shd w:val="clear" w:color="auto" w:fill="auto"/>
            <w:vAlign w:val="center"/>
          </w:tcPr>
          <w:p w14:paraId="4232152A">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备注</w:t>
            </w:r>
          </w:p>
        </w:tc>
      </w:tr>
      <w:tr w14:paraId="72440027">
        <w:tblPrEx>
          <w:tblCellMar>
            <w:top w:w="0" w:type="dxa"/>
            <w:left w:w="108" w:type="dxa"/>
            <w:bottom w:w="0" w:type="dxa"/>
            <w:right w:w="108" w:type="dxa"/>
          </w:tblCellMar>
        </w:tblPrEx>
        <w:trPr>
          <w:trHeight w:val="550" w:hRule="atLeast"/>
        </w:trPr>
        <w:tc>
          <w:tcPr>
            <w:tcW w:w="566" w:type="dxa"/>
            <w:tcBorders>
              <w:top w:val="nil"/>
              <w:left w:val="single" w:color="auto" w:sz="8" w:space="0"/>
              <w:bottom w:val="single" w:color="auto" w:sz="8" w:space="0"/>
              <w:right w:val="single" w:color="auto" w:sz="8" w:space="0"/>
            </w:tcBorders>
            <w:shd w:val="clear" w:color="auto" w:fill="auto"/>
            <w:vAlign w:val="center"/>
          </w:tcPr>
          <w:p w14:paraId="6847C861">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w:t>
            </w:r>
          </w:p>
        </w:tc>
        <w:tc>
          <w:tcPr>
            <w:tcW w:w="1953" w:type="dxa"/>
            <w:tcBorders>
              <w:top w:val="nil"/>
              <w:left w:val="nil"/>
              <w:bottom w:val="single" w:color="auto" w:sz="8" w:space="0"/>
              <w:right w:val="single" w:color="auto" w:sz="8" w:space="0"/>
            </w:tcBorders>
            <w:shd w:val="clear" w:color="auto" w:fill="auto"/>
            <w:vAlign w:val="center"/>
          </w:tcPr>
          <w:p w14:paraId="24DF1A97">
            <w:pPr>
              <w:widowControl/>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麻醉临床信息系统</w:t>
            </w:r>
          </w:p>
        </w:tc>
        <w:tc>
          <w:tcPr>
            <w:tcW w:w="1733" w:type="dxa"/>
            <w:tcBorders>
              <w:top w:val="nil"/>
              <w:left w:val="nil"/>
              <w:bottom w:val="single" w:color="auto" w:sz="8" w:space="0"/>
              <w:right w:val="single" w:color="auto" w:sz="8" w:space="0"/>
            </w:tcBorders>
            <w:shd w:val="clear" w:color="auto" w:fill="auto"/>
            <w:vAlign w:val="center"/>
          </w:tcPr>
          <w:p w14:paraId="1E0BD52B">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麦迪斯顿</w:t>
            </w:r>
          </w:p>
        </w:tc>
        <w:tc>
          <w:tcPr>
            <w:tcW w:w="993" w:type="dxa"/>
            <w:tcBorders>
              <w:top w:val="nil"/>
              <w:left w:val="nil"/>
              <w:bottom w:val="single" w:color="auto" w:sz="8" w:space="0"/>
              <w:right w:val="single" w:color="auto" w:sz="8" w:space="0"/>
            </w:tcBorders>
            <w:shd w:val="clear" w:color="auto" w:fill="auto"/>
            <w:vAlign w:val="center"/>
          </w:tcPr>
          <w:p w14:paraId="46FDA2F2">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w:t>
            </w:r>
          </w:p>
        </w:tc>
        <w:tc>
          <w:tcPr>
            <w:tcW w:w="1134" w:type="dxa"/>
            <w:tcBorders>
              <w:top w:val="nil"/>
              <w:left w:val="nil"/>
              <w:bottom w:val="single" w:color="auto" w:sz="8" w:space="0"/>
              <w:right w:val="single" w:color="auto" w:sz="8" w:space="0"/>
            </w:tcBorders>
            <w:shd w:val="clear" w:color="auto" w:fill="auto"/>
            <w:vAlign w:val="center"/>
          </w:tcPr>
          <w:p w14:paraId="0B60ECF8">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2126" w:type="dxa"/>
            <w:tcBorders>
              <w:top w:val="nil"/>
              <w:left w:val="nil"/>
              <w:bottom w:val="single" w:color="auto" w:sz="8" w:space="0"/>
              <w:right w:val="single" w:color="auto" w:sz="8" w:space="0"/>
            </w:tcBorders>
            <w:shd w:val="clear" w:color="auto" w:fill="auto"/>
            <w:vAlign w:val="center"/>
          </w:tcPr>
          <w:p w14:paraId="206F8B69">
            <w:pPr>
              <w:widowControl/>
              <w:jc w:val="center"/>
              <w:rPr>
                <w:rFonts w:ascii="Times New Roman" w:hAnsi="Times New Roman" w:eastAsia="等线"/>
                <w:color w:val="000000" w:themeColor="text1"/>
                <w:kern w:val="0"/>
                <w:szCs w:val="21"/>
                <w14:textFill>
                  <w14:solidFill>
                    <w14:schemeClr w14:val="tx1"/>
                  </w14:solidFill>
                </w14:textFill>
              </w:rPr>
            </w:pPr>
          </w:p>
        </w:tc>
      </w:tr>
      <w:tr w14:paraId="12F9E175">
        <w:tblPrEx>
          <w:tblCellMar>
            <w:top w:w="0" w:type="dxa"/>
            <w:left w:w="108" w:type="dxa"/>
            <w:bottom w:w="0" w:type="dxa"/>
            <w:right w:w="108" w:type="dxa"/>
          </w:tblCellMar>
        </w:tblPrEx>
        <w:trPr>
          <w:trHeight w:val="550" w:hRule="atLeast"/>
        </w:trPr>
        <w:tc>
          <w:tcPr>
            <w:tcW w:w="566" w:type="dxa"/>
            <w:tcBorders>
              <w:top w:val="nil"/>
              <w:left w:val="single" w:color="auto" w:sz="8" w:space="0"/>
              <w:bottom w:val="single" w:color="auto" w:sz="8" w:space="0"/>
              <w:right w:val="single" w:color="auto" w:sz="8" w:space="0"/>
            </w:tcBorders>
            <w:shd w:val="clear" w:color="auto" w:fill="auto"/>
            <w:vAlign w:val="center"/>
          </w:tcPr>
          <w:p w14:paraId="35C6BD2C">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2</w:t>
            </w:r>
          </w:p>
        </w:tc>
        <w:tc>
          <w:tcPr>
            <w:tcW w:w="1953" w:type="dxa"/>
            <w:tcBorders>
              <w:top w:val="nil"/>
              <w:left w:val="nil"/>
              <w:bottom w:val="single" w:color="auto" w:sz="8" w:space="0"/>
              <w:right w:val="single" w:color="auto" w:sz="8" w:space="0"/>
            </w:tcBorders>
            <w:shd w:val="clear" w:color="auto" w:fill="auto"/>
            <w:vAlign w:val="center"/>
          </w:tcPr>
          <w:p w14:paraId="24541522">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重症临床信息系统</w:t>
            </w:r>
          </w:p>
        </w:tc>
        <w:tc>
          <w:tcPr>
            <w:tcW w:w="1733" w:type="dxa"/>
            <w:tcBorders>
              <w:top w:val="nil"/>
              <w:left w:val="nil"/>
              <w:bottom w:val="single" w:color="auto" w:sz="8" w:space="0"/>
              <w:right w:val="single" w:color="auto" w:sz="8" w:space="0"/>
            </w:tcBorders>
            <w:shd w:val="clear" w:color="auto" w:fill="auto"/>
            <w:vAlign w:val="center"/>
          </w:tcPr>
          <w:p w14:paraId="48BB6C27">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麦迪斯顿</w:t>
            </w:r>
          </w:p>
        </w:tc>
        <w:tc>
          <w:tcPr>
            <w:tcW w:w="993" w:type="dxa"/>
            <w:tcBorders>
              <w:top w:val="nil"/>
              <w:left w:val="nil"/>
              <w:bottom w:val="single" w:color="auto" w:sz="8" w:space="0"/>
              <w:right w:val="single" w:color="auto" w:sz="8" w:space="0"/>
            </w:tcBorders>
            <w:shd w:val="clear" w:color="auto" w:fill="auto"/>
            <w:vAlign w:val="center"/>
          </w:tcPr>
          <w:p w14:paraId="5930F3DA">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w:t>
            </w:r>
          </w:p>
        </w:tc>
        <w:tc>
          <w:tcPr>
            <w:tcW w:w="1134" w:type="dxa"/>
            <w:tcBorders>
              <w:top w:val="nil"/>
              <w:left w:val="nil"/>
              <w:bottom w:val="single" w:color="auto" w:sz="8" w:space="0"/>
              <w:right w:val="single" w:color="auto" w:sz="8" w:space="0"/>
            </w:tcBorders>
            <w:shd w:val="clear" w:color="auto" w:fill="auto"/>
            <w:vAlign w:val="center"/>
          </w:tcPr>
          <w:p w14:paraId="4607CA50">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2126" w:type="dxa"/>
            <w:tcBorders>
              <w:top w:val="nil"/>
              <w:left w:val="nil"/>
              <w:bottom w:val="single" w:color="auto" w:sz="8" w:space="0"/>
              <w:right w:val="single" w:color="auto" w:sz="8" w:space="0"/>
            </w:tcBorders>
            <w:shd w:val="clear" w:color="auto" w:fill="auto"/>
            <w:vAlign w:val="center"/>
          </w:tcPr>
          <w:p w14:paraId="33E929EB">
            <w:pPr>
              <w:widowControl/>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　</w:t>
            </w:r>
          </w:p>
        </w:tc>
      </w:tr>
      <w:tr w14:paraId="1478CE02">
        <w:tblPrEx>
          <w:tblCellMar>
            <w:top w:w="0" w:type="dxa"/>
            <w:left w:w="108" w:type="dxa"/>
            <w:bottom w:w="0" w:type="dxa"/>
            <w:right w:w="108" w:type="dxa"/>
          </w:tblCellMar>
        </w:tblPrEx>
        <w:trPr>
          <w:trHeight w:val="612" w:hRule="atLeast"/>
        </w:trPr>
        <w:tc>
          <w:tcPr>
            <w:tcW w:w="566" w:type="dxa"/>
            <w:tcBorders>
              <w:top w:val="nil"/>
              <w:left w:val="single" w:color="auto" w:sz="8" w:space="0"/>
              <w:bottom w:val="single" w:color="000000" w:sz="8" w:space="0"/>
              <w:right w:val="single" w:color="auto" w:sz="8" w:space="0"/>
            </w:tcBorders>
            <w:shd w:val="clear" w:color="auto" w:fill="auto"/>
            <w:vAlign w:val="center"/>
          </w:tcPr>
          <w:p w14:paraId="174B0B1D">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3</w:t>
            </w:r>
          </w:p>
        </w:tc>
        <w:tc>
          <w:tcPr>
            <w:tcW w:w="1953" w:type="dxa"/>
            <w:tcBorders>
              <w:top w:val="nil"/>
              <w:left w:val="single" w:color="auto" w:sz="8" w:space="0"/>
              <w:bottom w:val="single" w:color="000000" w:sz="8" w:space="0"/>
              <w:right w:val="single" w:color="auto" w:sz="8" w:space="0"/>
            </w:tcBorders>
            <w:shd w:val="clear" w:color="auto" w:fill="auto"/>
            <w:vAlign w:val="center"/>
          </w:tcPr>
          <w:p w14:paraId="34F6278F">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手术行为管理系统</w:t>
            </w:r>
          </w:p>
        </w:tc>
        <w:tc>
          <w:tcPr>
            <w:tcW w:w="1733" w:type="dxa"/>
            <w:tcBorders>
              <w:top w:val="nil"/>
              <w:left w:val="nil"/>
              <w:bottom w:val="single" w:color="auto" w:sz="8" w:space="0"/>
              <w:right w:val="single" w:color="auto" w:sz="8" w:space="0"/>
            </w:tcBorders>
            <w:shd w:val="clear" w:color="auto" w:fill="auto"/>
            <w:vAlign w:val="center"/>
          </w:tcPr>
          <w:p w14:paraId="6258727D">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麦迪斯顿</w:t>
            </w:r>
          </w:p>
        </w:tc>
        <w:tc>
          <w:tcPr>
            <w:tcW w:w="993" w:type="dxa"/>
            <w:tcBorders>
              <w:top w:val="nil"/>
              <w:left w:val="nil"/>
              <w:bottom w:val="single" w:color="auto" w:sz="8" w:space="0"/>
              <w:right w:val="single" w:color="auto" w:sz="8" w:space="0"/>
            </w:tcBorders>
            <w:shd w:val="clear" w:color="auto" w:fill="auto"/>
            <w:vAlign w:val="center"/>
          </w:tcPr>
          <w:p w14:paraId="762D0192">
            <w:pPr>
              <w:widowControl/>
              <w:jc w:val="center"/>
              <w:rPr>
                <w:rFonts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w:t>
            </w:r>
          </w:p>
        </w:tc>
        <w:tc>
          <w:tcPr>
            <w:tcW w:w="1134" w:type="dxa"/>
            <w:tcBorders>
              <w:top w:val="nil"/>
              <w:left w:val="nil"/>
              <w:bottom w:val="single" w:color="auto" w:sz="8" w:space="0"/>
              <w:right w:val="single" w:color="auto" w:sz="8" w:space="0"/>
            </w:tcBorders>
            <w:shd w:val="clear" w:color="auto" w:fill="auto"/>
            <w:vAlign w:val="center"/>
          </w:tcPr>
          <w:p w14:paraId="37A227EA">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套</w:t>
            </w:r>
          </w:p>
        </w:tc>
        <w:tc>
          <w:tcPr>
            <w:tcW w:w="2126" w:type="dxa"/>
            <w:tcBorders>
              <w:top w:val="nil"/>
              <w:left w:val="nil"/>
              <w:bottom w:val="single" w:color="auto" w:sz="8" w:space="0"/>
              <w:right w:val="single" w:color="auto" w:sz="8" w:space="0"/>
            </w:tcBorders>
            <w:shd w:val="clear" w:color="auto" w:fill="auto"/>
            <w:vAlign w:val="center"/>
          </w:tcPr>
          <w:p w14:paraId="62E208CF">
            <w:pPr>
              <w:widowControl/>
              <w:jc w:val="center"/>
              <w:rPr>
                <w:rFonts w:ascii="Times New Roman" w:hAnsi="Times New Roman" w:eastAsia="等线"/>
                <w:color w:val="000000" w:themeColor="text1"/>
                <w:kern w:val="0"/>
                <w:szCs w:val="21"/>
                <w14:textFill>
                  <w14:solidFill>
                    <w14:schemeClr w14:val="tx1"/>
                  </w14:solidFill>
                </w14:textFill>
              </w:rPr>
            </w:pPr>
            <w:r>
              <w:rPr>
                <w:rFonts w:ascii="Times New Roman" w:hAnsi="Times New Roman" w:eastAsia="等线"/>
                <w:color w:val="000000" w:themeColor="text1"/>
                <w:kern w:val="0"/>
                <w:szCs w:val="21"/>
                <w14:textFill>
                  <w14:solidFill>
                    <w14:schemeClr w14:val="tx1"/>
                  </w14:solidFill>
                </w14:textFill>
              </w:rPr>
              <w:t>　</w:t>
            </w:r>
          </w:p>
        </w:tc>
      </w:tr>
    </w:tbl>
    <w:p w14:paraId="41D4D05A">
      <w:pPr>
        <w:spacing w:line="360" w:lineRule="auto"/>
        <w:ind w:firstLine="482" w:firstLineChars="200"/>
        <w:rPr>
          <w:rFonts w:ascii="宋体" w:hAnsi="宋体" w:cs="宋体"/>
          <w:color w:val="000000"/>
          <w:sz w:val="24"/>
        </w:rPr>
      </w:pPr>
      <w:r>
        <w:rPr>
          <w:rFonts w:hint="eastAsia" w:ascii="宋体" w:hAnsi="宋体" w:cs="宋体"/>
          <w:b/>
          <w:bCs/>
          <w:color w:val="000000"/>
          <w:sz w:val="24"/>
        </w:rPr>
        <w:t>（1）400远程电话支持</w:t>
      </w:r>
      <w:r>
        <w:rPr>
          <w:rFonts w:hint="eastAsia" w:ascii="宋体" w:hAnsi="宋体" w:cs="宋体"/>
          <w:color w:val="000000"/>
          <w:sz w:val="24"/>
        </w:rPr>
        <w:t>：乙方全国客服热线：400电话7×24小时远程支持或软件技术问题解决与分发。</w:t>
      </w:r>
    </w:p>
    <w:p w14:paraId="1C49EBEF">
      <w:pPr>
        <w:spacing w:line="360" w:lineRule="auto"/>
        <w:ind w:firstLine="482" w:firstLineChars="200"/>
        <w:rPr>
          <w:rFonts w:ascii="宋体" w:hAnsi="宋体" w:cs="宋体"/>
          <w:color w:val="000000"/>
          <w:sz w:val="24"/>
        </w:rPr>
      </w:pPr>
      <w:r>
        <w:rPr>
          <w:rFonts w:hint="eastAsia" w:ascii="宋体" w:hAnsi="宋体" w:cs="宋体"/>
          <w:b/>
          <w:bCs/>
          <w:color w:val="000000"/>
          <w:sz w:val="24"/>
        </w:rPr>
        <w:t>（2）故障维护：</w:t>
      </w:r>
      <w:r>
        <w:rPr>
          <w:rFonts w:hint="eastAsia" w:ascii="宋体" w:hAnsi="宋体" w:cs="宋体"/>
          <w:color w:val="000000"/>
          <w:sz w:val="24"/>
        </w:rPr>
        <w:t>乙方配合甲方解决系统运行过程中由于网络、服务器、计算机、操作系统等原因所产生的软件无法正常运行的情况，保障系统的正常运行，并在完成故障处理后出具产品维护报告，包含问题的原因、解决办法及建议。</w:t>
      </w:r>
    </w:p>
    <w:p w14:paraId="5AECDE21">
      <w:pPr>
        <w:spacing w:line="360" w:lineRule="auto"/>
        <w:ind w:firstLine="482" w:firstLineChars="200"/>
        <w:rPr>
          <w:rFonts w:ascii="宋体" w:hAnsi="宋体" w:cs="宋体"/>
          <w:color w:val="000000"/>
          <w:sz w:val="24"/>
        </w:rPr>
      </w:pPr>
      <w:r>
        <w:rPr>
          <w:rFonts w:hint="eastAsia" w:ascii="宋体" w:hAnsi="宋体" w:cs="宋体"/>
          <w:b/>
          <w:bCs/>
          <w:color w:val="000000"/>
          <w:sz w:val="24"/>
        </w:rPr>
        <w:t>（3）软件正确性维护：</w:t>
      </w:r>
      <w:r>
        <w:rPr>
          <w:rFonts w:hint="eastAsia" w:ascii="宋体" w:hAnsi="宋体" w:cs="宋体"/>
          <w:color w:val="000000"/>
          <w:sz w:val="24"/>
        </w:rPr>
        <w:t>软件运行过程中新发现的软件错误，乙方负责维护并及时改进，同时向甲方提供软件维护说明。</w:t>
      </w:r>
    </w:p>
    <w:p w14:paraId="4C127B91">
      <w:pPr>
        <w:spacing w:line="360" w:lineRule="auto"/>
        <w:ind w:firstLine="482" w:firstLineChars="200"/>
        <w:rPr>
          <w:rFonts w:ascii="宋体" w:hAnsi="宋体" w:cs="宋体"/>
          <w:color w:val="000000"/>
          <w:sz w:val="24"/>
        </w:rPr>
      </w:pPr>
      <w:r>
        <w:rPr>
          <w:rFonts w:hint="eastAsia" w:ascii="宋体" w:hAnsi="宋体" w:cs="宋体"/>
          <w:b/>
          <w:bCs/>
          <w:color w:val="000000"/>
          <w:sz w:val="24"/>
        </w:rPr>
        <w:t>（4）用户培训：</w:t>
      </w:r>
      <w:r>
        <w:rPr>
          <w:rFonts w:hint="eastAsia" w:ascii="宋体" w:hAnsi="宋体" w:cs="宋体"/>
          <w:color w:val="000000"/>
          <w:sz w:val="24"/>
        </w:rPr>
        <w:t>乙方负责软件更改后造成软件操作变化的使用培训，培训对象为甲方的医生、护士、技术工程师、业务科室的关键用户。乙方同时向甲方提供新功能使用说明。</w:t>
      </w:r>
    </w:p>
    <w:p w14:paraId="7C1B52DF">
      <w:pPr>
        <w:spacing w:line="360" w:lineRule="auto"/>
        <w:ind w:firstLine="482" w:firstLineChars="200"/>
        <w:rPr>
          <w:rFonts w:ascii="宋体" w:hAnsi="宋体" w:cs="宋体"/>
          <w:color w:val="000000"/>
          <w:sz w:val="24"/>
        </w:rPr>
      </w:pPr>
      <w:r>
        <w:rPr>
          <w:rFonts w:hint="eastAsia" w:ascii="宋体" w:hAnsi="宋体" w:cs="宋体"/>
          <w:b/>
          <w:bCs/>
          <w:color w:val="000000"/>
          <w:sz w:val="24"/>
        </w:rPr>
        <w:t>（5）定时巡检：</w:t>
      </w:r>
      <w:r>
        <w:rPr>
          <w:rFonts w:hint="eastAsia" w:ascii="宋体" w:hAnsi="宋体" w:cs="宋体"/>
          <w:color w:val="000000"/>
          <w:sz w:val="24"/>
        </w:rPr>
        <w:t>经甲方许可，</w:t>
      </w:r>
      <w:r>
        <w:rPr>
          <w:rFonts w:hint="eastAsia" w:ascii="宋体" w:hAnsi="宋体"/>
          <w:sz w:val="24"/>
        </w:rPr>
        <w:t>一年</w:t>
      </w:r>
      <w:r>
        <w:rPr>
          <w:rFonts w:ascii="宋体" w:hAnsi="宋体"/>
          <w:sz w:val="24"/>
        </w:rPr>
        <w:t>4</w:t>
      </w:r>
      <w:r>
        <w:rPr>
          <w:rFonts w:hint="eastAsia" w:ascii="宋体" w:hAnsi="宋体"/>
          <w:sz w:val="24"/>
        </w:rPr>
        <w:t>次巡检:每个季度一次。巡检内容包括手麻及</w:t>
      </w:r>
      <w:r>
        <w:rPr>
          <w:rFonts w:ascii="宋体" w:hAnsi="宋体"/>
          <w:sz w:val="24"/>
        </w:rPr>
        <w:t>重症</w:t>
      </w:r>
      <w:r>
        <w:rPr>
          <w:rFonts w:hint="eastAsia" w:ascii="宋体" w:hAnsi="宋体"/>
          <w:sz w:val="24"/>
        </w:rPr>
        <w:t>系统服务器及工作站的使用情况，确保系统能够正常使用，巡检完出具相应的巡检报告，并请相关科室签字确认</w:t>
      </w:r>
    </w:p>
    <w:p w14:paraId="3F47361D">
      <w:pPr>
        <w:spacing w:line="360" w:lineRule="auto"/>
        <w:ind w:firstLine="482" w:firstLineChars="200"/>
        <w:rPr>
          <w:rFonts w:ascii="宋体" w:hAnsi="宋体" w:cs="宋体"/>
          <w:color w:val="000000"/>
          <w:sz w:val="24"/>
        </w:rPr>
      </w:pPr>
      <w:r>
        <w:rPr>
          <w:rFonts w:hint="eastAsia" w:ascii="宋体" w:hAnsi="宋体" w:cs="宋体"/>
          <w:b/>
          <w:bCs/>
          <w:color w:val="000000"/>
          <w:sz w:val="24"/>
        </w:rPr>
        <w:t>（6）需求的更新：</w:t>
      </w:r>
      <w:r>
        <w:rPr>
          <w:rFonts w:hint="eastAsia" w:ascii="宋体" w:hAnsi="宋体" w:cs="宋体"/>
          <w:color w:val="000000"/>
          <w:sz w:val="24"/>
        </w:rPr>
        <w:t>由于国家卫生主管部门政策变化导致本合同范围内的软件系统功能中的表单内容或格式需变更，医院与乙方共同协商确认后，乙方及时完善到系统中。甲方在实际工作中产生的需要系统更新的版本内的相关功能，经甲乙双方友好协商后，共同签署附加实施合同，依据技术服务工作量免费或收取部分费用；超出功能范围的内容，经甲乙双方友好协商后，按工作量核算相应费用。</w:t>
      </w:r>
    </w:p>
    <w:p w14:paraId="29F3CF2D">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w:t>
      </w:r>
      <w:r>
        <w:rPr>
          <w:rFonts w:ascii="宋体" w:hAnsi="宋体" w:cs="宋体"/>
          <w:b/>
          <w:bCs/>
          <w:color w:val="000000"/>
          <w:sz w:val="24"/>
        </w:rPr>
        <w:t>7</w:t>
      </w:r>
      <w:r>
        <w:rPr>
          <w:rFonts w:hint="eastAsia" w:ascii="宋体" w:hAnsi="宋体" w:cs="宋体"/>
          <w:b/>
          <w:bCs/>
          <w:color w:val="000000"/>
          <w:sz w:val="24"/>
        </w:rPr>
        <w:t>）客户回应承诺：</w:t>
      </w:r>
    </w:p>
    <w:p w14:paraId="095FC69F">
      <w:pPr>
        <w:spacing w:line="360" w:lineRule="auto"/>
        <w:ind w:firstLine="480" w:firstLineChars="200"/>
        <w:rPr>
          <w:rFonts w:ascii="宋体" w:hAnsi="宋体" w:cs="宋体"/>
          <w:color w:val="000000"/>
          <w:sz w:val="24"/>
        </w:rPr>
      </w:pPr>
      <w:r>
        <w:rPr>
          <w:rFonts w:hint="eastAsia" w:ascii="宋体" w:hAnsi="宋体" w:cs="宋体"/>
          <w:color w:val="000000"/>
          <w:sz w:val="24"/>
        </w:rPr>
        <w:t>在维护期内，如软件系统故障，乙方需在接到通知后30分钟内予以响应，共同协商解决方案。</w:t>
      </w:r>
    </w:p>
    <w:p w14:paraId="3A536A00">
      <w:pPr>
        <w:spacing w:line="360" w:lineRule="auto"/>
        <w:ind w:firstLine="480" w:firstLineChars="200"/>
        <w:rPr>
          <w:rFonts w:ascii="宋体" w:hAnsi="宋体" w:cs="宋体"/>
          <w:color w:val="000000"/>
          <w:sz w:val="24"/>
        </w:rPr>
      </w:pPr>
      <w:r>
        <w:rPr>
          <w:rFonts w:hint="eastAsia" w:ascii="宋体" w:hAnsi="宋体" w:cs="宋体"/>
          <w:color w:val="000000"/>
          <w:sz w:val="24"/>
        </w:rPr>
        <w:t>若需要工程师前往现场，除约定到达时间外，一般要求在4小时到达甲方指定现场。</w:t>
      </w:r>
    </w:p>
    <w:p w14:paraId="2D164A3B">
      <w:pPr>
        <w:spacing w:line="360" w:lineRule="auto"/>
        <w:ind w:firstLine="480" w:firstLineChars="200"/>
        <w:rPr>
          <w:rFonts w:ascii="宋体" w:hAnsi="宋体" w:cs="宋体"/>
          <w:color w:val="000000"/>
          <w:sz w:val="24"/>
        </w:rPr>
      </w:pPr>
      <w:r>
        <w:rPr>
          <w:rFonts w:hint="eastAsia" w:ascii="宋体" w:hAnsi="宋体" w:cs="宋体"/>
          <w:color w:val="000000"/>
          <w:sz w:val="24"/>
        </w:rPr>
        <w:t>工程师在到达现场后，经现场调查后，除约定时间外，一般要求6小时内排除故障。</w:t>
      </w:r>
    </w:p>
    <w:p w14:paraId="4B2A972B">
      <w:pPr>
        <w:spacing w:line="360" w:lineRule="auto"/>
        <w:ind w:firstLine="480" w:firstLineChars="200"/>
        <w:rPr>
          <w:rFonts w:ascii="宋体" w:hAnsi="宋体" w:cs="宋体"/>
          <w:color w:val="000000"/>
          <w:sz w:val="24"/>
        </w:rPr>
      </w:pPr>
      <w:r>
        <w:rPr>
          <w:rFonts w:hint="eastAsia" w:ascii="宋体" w:hAnsi="宋体" w:cs="宋体"/>
          <w:color w:val="000000"/>
          <w:sz w:val="24"/>
        </w:rPr>
        <w:t>如甲方因需求修改要求工程师现场维护的，乙方应在24小时内予以回应，给出具体解决方案和时间表，经甲方批准后，遵照方案、时间表及本合同约定执行。</w:t>
      </w:r>
    </w:p>
    <w:p w14:paraId="3BF62F61">
      <w:pPr>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8</w:t>
      </w:r>
      <w:r>
        <w:rPr>
          <w:rFonts w:hint="eastAsia" w:ascii="宋体" w:hAnsi="宋体" w:cs="宋体"/>
          <w:color w:val="000000"/>
          <w:sz w:val="24"/>
        </w:rPr>
        <w:t>）文档管理：提供和完善相关服务工作文档（软件更新的内容说明和常见问题的解决方法说明）。</w:t>
      </w:r>
    </w:p>
    <w:p w14:paraId="6E845F26">
      <w:pPr>
        <w:spacing w:line="360" w:lineRule="auto"/>
        <w:ind w:firstLine="480" w:firstLineChars="200"/>
        <w:rPr>
          <w:rFonts w:ascii="宋体" w:hAnsi="宋体" w:cs="宋体"/>
          <w:color w:val="000000"/>
          <w:sz w:val="24"/>
        </w:rPr>
      </w:pPr>
      <w:r>
        <w:rPr>
          <w:rFonts w:hint="eastAsia" w:ascii="宋体" w:hAnsi="宋体" w:cs="宋体"/>
          <w:color w:val="000000"/>
          <w:sz w:val="24"/>
        </w:rPr>
        <w:t>行为管理：硬件维修</w:t>
      </w:r>
      <w:r>
        <w:rPr>
          <w:rFonts w:ascii="宋体" w:hAnsi="宋体" w:cs="宋体"/>
          <w:color w:val="000000"/>
          <w:sz w:val="24"/>
        </w:rPr>
        <w:t>保障</w:t>
      </w:r>
      <w:r>
        <w:rPr>
          <w:rFonts w:hint="eastAsia" w:ascii="宋体" w:hAnsi="宋体" w:cs="宋体"/>
          <w:color w:val="000000"/>
          <w:sz w:val="24"/>
        </w:rPr>
        <w:t>：乙方派遣</w:t>
      </w:r>
      <w:r>
        <w:rPr>
          <w:rFonts w:ascii="宋体" w:hAnsi="宋体" w:cs="宋体"/>
          <w:color w:val="000000"/>
          <w:sz w:val="24"/>
        </w:rPr>
        <w:t>具有专业技能的技术人员对其在日常保养过程中</w:t>
      </w:r>
      <w:r>
        <w:rPr>
          <w:rFonts w:hint="eastAsia" w:ascii="宋体" w:hAnsi="宋体" w:cs="宋体"/>
          <w:color w:val="000000"/>
          <w:sz w:val="24"/>
        </w:rPr>
        <w:t>发现</w:t>
      </w:r>
      <w:r>
        <w:rPr>
          <w:rFonts w:ascii="宋体" w:hAnsi="宋体" w:cs="宋体"/>
          <w:color w:val="000000"/>
          <w:sz w:val="24"/>
        </w:rPr>
        <w:t>的故障或者甲方</w:t>
      </w:r>
      <w:r>
        <w:rPr>
          <w:rFonts w:hint="eastAsia" w:ascii="宋体" w:hAnsi="宋体" w:cs="宋体"/>
          <w:color w:val="000000"/>
          <w:sz w:val="24"/>
        </w:rPr>
        <w:t>报修</w:t>
      </w:r>
      <w:r>
        <w:rPr>
          <w:rFonts w:ascii="宋体" w:hAnsi="宋体" w:cs="宋体"/>
          <w:color w:val="000000"/>
          <w:sz w:val="24"/>
        </w:rPr>
        <w:t>的故障进行维修，修复后需甲方人员予以签字确认</w:t>
      </w:r>
      <w:r>
        <w:rPr>
          <w:rFonts w:hint="eastAsia" w:ascii="宋体" w:hAnsi="宋体" w:cs="宋体"/>
          <w:color w:val="000000"/>
          <w:sz w:val="24"/>
        </w:rPr>
        <w:t>。在</w:t>
      </w:r>
      <w:r>
        <w:rPr>
          <w:rFonts w:ascii="宋体" w:hAnsi="宋体" w:cs="宋体"/>
          <w:color w:val="000000"/>
          <w:sz w:val="24"/>
        </w:rPr>
        <w:t>故障现场不能修复的设备，双方协商确定</w:t>
      </w:r>
      <w:r>
        <w:rPr>
          <w:rFonts w:hint="eastAsia" w:ascii="宋体" w:hAnsi="宋体" w:cs="宋体"/>
          <w:color w:val="000000"/>
          <w:sz w:val="24"/>
        </w:rPr>
        <w:t>应急预案</w:t>
      </w:r>
      <w:r>
        <w:rPr>
          <w:rFonts w:ascii="宋体" w:hAnsi="宋体" w:cs="宋体"/>
          <w:color w:val="000000"/>
          <w:sz w:val="24"/>
        </w:rPr>
        <w:t>。确</w:t>
      </w:r>
      <w:r>
        <w:rPr>
          <w:rFonts w:hint="eastAsia" w:ascii="宋体" w:hAnsi="宋体" w:cs="宋体"/>
          <w:color w:val="000000"/>
          <w:sz w:val="24"/>
        </w:rPr>
        <w:t>系</w:t>
      </w:r>
      <w:r>
        <w:rPr>
          <w:rFonts w:ascii="宋体" w:hAnsi="宋体" w:cs="宋体"/>
          <w:color w:val="000000"/>
          <w:sz w:val="24"/>
        </w:rPr>
        <w:t>设备损坏等原因无法完全</w:t>
      </w:r>
      <w:r>
        <w:rPr>
          <w:rFonts w:hint="eastAsia" w:ascii="宋体" w:hAnsi="宋体" w:cs="宋体"/>
          <w:color w:val="000000"/>
          <w:sz w:val="24"/>
        </w:rPr>
        <w:t>恢复</w:t>
      </w:r>
      <w:r>
        <w:rPr>
          <w:rFonts w:ascii="宋体" w:hAnsi="宋体" w:cs="宋体"/>
          <w:color w:val="000000"/>
          <w:sz w:val="24"/>
        </w:rPr>
        <w:t>的，应将系统故障降至最低，确定解决办法和最后期限</w:t>
      </w:r>
      <w:r>
        <w:rPr>
          <w:rFonts w:hint="eastAsia" w:ascii="宋体" w:hAnsi="宋体" w:cs="宋体"/>
          <w:color w:val="000000"/>
          <w:sz w:val="24"/>
        </w:rPr>
        <w:t>。</w:t>
      </w:r>
      <w:r>
        <w:rPr>
          <w:rFonts w:ascii="宋体" w:hAnsi="宋体" w:cs="宋体"/>
          <w:color w:val="000000"/>
          <w:sz w:val="24"/>
        </w:rPr>
        <w:t>核心</w:t>
      </w:r>
      <w:r>
        <w:rPr>
          <w:rFonts w:hint="eastAsia" w:ascii="宋体" w:hAnsi="宋体" w:cs="宋体"/>
          <w:color w:val="000000"/>
          <w:sz w:val="24"/>
        </w:rPr>
        <w:t>设备</w:t>
      </w:r>
      <w:r>
        <w:rPr>
          <w:rFonts w:ascii="宋体" w:hAnsi="宋体" w:cs="宋体"/>
          <w:color w:val="000000"/>
          <w:sz w:val="24"/>
        </w:rPr>
        <w:t>外送修理期间，乙方应提供替代品以保证设备的正常运行。</w:t>
      </w:r>
    </w:p>
    <w:p w14:paraId="138ED138">
      <w:pPr>
        <w:spacing w:line="360" w:lineRule="auto"/>
        <w:ind w:firstLine="480" w:firstLineChars="200"/>
      </w:pPr>
      <w:r>
        <w:rPr>
          <w:rFonts w:hint="eastAsia" w:ascii="宋体" w:hAnsi="宋体" w:cs="宋体"/>
          <w:color w:val="000000"/>
          <w:sz w:val="24"/>
        </w:rPr>
        <w:t>（8）硬件更换</w:t>
      </w:r>
      <w:r>
        <w:rPr>
          <w:rFonts w:ascii="宋体" w:hAnsi="宋体" w:cs="宋体"/>
          <w:color w:val="000000"/>
          <w:sz w:val="24"/>
        </w:rPr>
        <w:t>承诺</w:t>
      </w:r>
      <w:r>
        <w:rPr>
          <w:rFonts w:hint="eastAsia" w:ascii="宋体" w:hAnsi="宋体" w:cs="宋体"/>
          <w:color w:val="000000"/>
          <w:sz w:val="24"/>
        </w:rPr>
        <w:t>：乙方应</w:t>
      </w:r>
      <w:r>
        <w:rPr>
          <w:rFonts w:ascii="宋体" w:hAnsi="宋体" w:cs="宋体"/>
          <w:color w:val="000000"/>
          <w:sz w:val="24"/>
        </w:rPr>
        <w:t>在接到故障通知后的</w:t>
      </w:r>
      <w:r>
        <w:rPr>
          <w:rFonts w:hint="eastAsia" w:ascii="宋体" w:hAnsi="宋体" w:cs="宋体"/>
          <w:color w:val="000000"/>
          <w:sz w:val="24"/>
        </w:rPr>
        <w:t>30分钟</w:t>
      </w:r>
      <w:r>
        <w:rPr>
          <w:rFonts w:ascii="宋体" w:hAnsi="宋体" w:cs="宋体"/>
          <w:color w:val="000000"/>
          <w:sz w:val="24"/>
        </w:rPr>
        <w:t>内予以</w:t>
      </w:r>
      <w:r>
        <w:rPr>
          <w:rFonts w:hint="eastAsia" w:ascii="宋体" w:hAnsi="宋体" w:cs="宋体"/>
          <w:color w:val="000000"/>
          <w:sz w:val="24"/>
        </w:rPr>
        <w:t>响应</w:t>
      </w:r>
      <w:r>
        <w:rPr>
          <w:rFonts w:ascii="宋体" w:hAnsi="宋体" w:cs="宋体"/>
          <w:color w:val="000000"/>
          <w:sz w:val="24"/>
        </w:rPr>
        <w:t>，共同协商解决方案。</w:t>
      </w:r>
      <w:r>
        <w:rPr>
          <w:rFonts w:hint="eastAsia" w:ascii="宋体" w:hAnsi="宋体" w:cs="宋体"/>
          <w:color w:val="000000"/>
          <w:sz w:val="24"/>
        </w:rPr>
        <w:t>甲乙双方约定在维保期内硬件更换维修的费用3万元以内乙方承担，如硬件更换修理费超过三万额外的费用由甲方承担。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BE"/>
    <w:rsid w:val="001446FB"/>
    <w:rsid w:val="001630F3"/>
    <w:rsid w:val="002942BE"/>
    <w:rsid w:val="0034475E"/>
    <w:rsid w:val="004676F8"/>
    <w:rsid w:val="004C1096"/>
    <w:rsid w:val="00722061"/>
    <w:rsid w:val="00842849"/>
    <w:rsid w:val="00A851C6"/>
    <w:rsid w:val="00B24061"/>
    <w:rsid w:val="00BC0D55"/>
    <w:rsid w:val="00C51EE1"/>
    <w:rsid w:val="00D8276F"/>
    <w:rsid w:val="00F57F23"/>
    <w:rsid w:val="00F6395C"/>
    <w:rsid w:val="00FA3226"/>
    <w:rsid w:val="6893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0">
    <w:name w:val="标题 1 字符"/>
    <w:basedOn w:val="6"/>
    <w:link w:val="2"/>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D81C3E32-9BA6-4C49-95A8-1938E194D984}">
  <ds:schemaRefs/>
</ds:datastoreItem>
</file>

<file path=customXml/itemProps2.xml><?xml version="1.0" encoding="utf-8"?>
<ds:datastoreItem xmlns:ds="http://schemas.openxmlformats.org/officeDocument/2006/customXml" ds:itemID="{39C2C4C8-80C4-4872-A2D7-FE27602E06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1158</Words>
  <Characters>1168</Characters>
  <Lines>8</Lines>
  <Paragraphs>2</Paragraphs>
  <TotalTime>29</TotalTime>
  <ScaleCrop>false</ScaleCrop>
  <LinksUpToDate>false</LinksUpToDate>
  <CharactersWithSpaces>1171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2021-01-08T06:05:00Z</dcterms:created>
  <dc:creator>M0828</dc:creator>
  <cp:lastModifiedBy>橘子桔子橘</cp:lastModifiedBy>
  <dcterms:modified xsi:type="dcterms:W3CDTF">2025-12-09T06:27:58Z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eyJoZGlkIjoiODhjZjJmYTU2OGNiNGMwNDY4ZGU1YTU0MWY1NDAyMmYiLCJ1c2VySWQiOiIxMDE1NDUyMDMwIn0=</vt:lpwstr>
  </property>
  <property fmtid="{D5CDD505-2E9C-101B-9397-08002B2CF9AE}" pid="3" name="KSOProductBuildVer">
    <vt:lpwstr>2052-12.1.0.24034</vt:lpwstr>
  </property>
  <property fmtid="{D5CDD505-2E9C-101B-9397-08002B2CF9AE}" pid="4" name="ICV">
    <vt:lpwstr>2C3B5E4291A04945B7BD801680B20918_12</vt:lpwstr>
  </property>
</Properties>
</file>