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7E9AD">
      <w:pPr>
        <w:pStyle w:val="10"/>
        <w:widowControl/>
        <w:adjustRightInd w:val="0"/>
        <w:snapToGrid w:val="0"/>
        <w:spacing w:beforeAutospacing="0" w:afterAutospacing="0"/>
        <w:jc w:val="center"/>
        <w:rPr>
          <w:rStyle w:val="14"/>
          <w:rFonts w:asciiTheme="minorEastAsia" w:hAnsiTheme="minorEastAsia" w:eastAsiaTheme="minorEastAsia" w:cstheme="minorEastAsia"/>
          <w:b w:val="0"/>
          <w:sz w:val="36"/>
          <w:szCs w:val="36"/>
        </w:rPr>
      </w:pPr>
      <w:r>
        <w:rPr>
          <w:rStyle w:val="14"/>
          <w:rFonts w:hint="eastAsia" w:asciiTheme="minorEastAsia" w:hAnsiTheme="minorEastAsia" w:eastAsiaTheme="minorEastAsia" w:cstheme="minorEastAsia"/>
          <w:bCs/>
          <w:sz w:val="32"/>
          <w:szCs w:val="32"/>
        </w:rPr>
        <w:t>医疗设备维保服务要求</w:t>
      </w:r>
    </w:p>
    <w:p w14:paraId="5286FEEA">
      <w:pPr>
        <w:spacing w:after="0"/>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一、主要设备明细</w:t>
      </w:r>
    </w:p>
    <w:tbl>
      <w:tblPr>
        <w:tblStyle w:val="11"/>
        <w:tblW w:w="8719" w:type="dxa"/>
        <w:tblInd w:w="-85" w:type="dxa"/>
        <w:tblLayout w:type="fixed"/>
        <w:tblCellMar>
          <w:top w:w="0" w:type="dxa"/>
          <w:left w:w="108" w:type="dxa"/>
          <w:bottom w:w="0" w:type="dxa"/>
          <w:right w:w="108" w:type="dxa"/>
        </w:tblCellMar>
      </w:tblPr>
      <w:tblGrid>
        <w:gridCol w:w="1089"/>
        <w:gridCol w:w="1315"/>
        <w:gridCol w:w="3060"/>
        <w:gridCol w:w="1875"/>
        <w:gridCol w:w="1380"/>
      </w:tblGrid>
      <w:tr w14:paraId="01AA27C4">
        <w:tblPrEx>
          <w:tblCellMar>
            <w:top w:w="0" w:type="dxa"/>
            <w:left w:w="108" w:type="dxa"/>
            <w:bottom w:w="0" w:type="dxa"/>
            <w:right w:w="108" w:type="dxa"/>
          </w:tblCellMar>
        </w:tblPrEx>
        <w:trPr>
          <w:trHeight w:val="48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A860">
            <w:pPr>
              <w:spacing w:after="0"/>
              <w:jc w:val="center"/>
              <w:textAlignment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类别</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3875">
            <w:pPr>
              <w:spacing w:after="0"/>
              <w:jc w:val="center"/>
              <w:textAlignment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所属科室</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7BBB">
            <w:pPr>
              <w:spacing w:after="0"/>
              <w:jc w:val="center"/>
              <w:textAlignment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资产名称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EF86">
            <w:pPr>
              <w:spacing w:after="0"/>
              <w:jc w:val="center"/>
              <w:textAlignment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资产型号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93F8">
            <w:pPr>
              <w:spacing w:after="0"/>
              <w:jc w:val="center"/>
              <w:textAlignment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品牌</w:t>
            </w:r>
          </w:p>
        </w:tc>
      </w:tr>
      <w:tr w14:paraId="2E0A6366">
        <w:tblPrEx>
          <w:tblCellMar>
            <w:top w:w="0" w:type="dxa"/>
            <w:left w:w="108" w:type="dxa"/>
            <w:bottom w:w="0" w:type="dxa"/>
            <w:right w:w="108" w:type="dxa"/>
          </w:tblCellMar>
        </w:tblPrEx>
        <w:trPr>
          <w:trHeight w:val="270" w:hRule="atLeast"/>
        </w:trPr>
        <w:tc>
          <w:tcPr>
            <w:tcW w:w="1089" w:type="dxa"/>
            <w:vMerge w:val="restart"/>
            <w:tcBorders>
              <w:top w:val="single" w:color="000000" w:sz="4" w:space="0"/>
              <w:left w:val="single" w:color="000000" w:sz="4" w:space="0"/>
              <w:right w:val="single" w:color="000000" w:sz="4" w:space="0"/>
            </w:tcBorders>
            <w:shd w:val="clear" w:color="auto" w:fill="auto"/>
            <w:vAlign w:val="center"/>
          </w:tcPr>
          <w:p w14:paraId="43D3B862">
            <w:pPr>
              <w:spacing w:after="0"/>
              <w:jc w:val="center"/>
              <w:textAlignment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大型设备</w:t>
            </w:r>
            <w:r>
              <w:rPr>
                <w:rFonts w:hint="eastAsia" w:asciiTheme="minorEastAsia" w:hAnsiTheme="minorEastAsia" w:eastAsiaTheme="minorEastAsia" w:cstheme="minorEastAsia"/>
                <w:b/>
                <w:bCs/>
                <w:sz w:val="21"/>
                <w:szCs w:val="21"/>
              </w:rPr>
              <w:br w:type="textWrapping"/>
            </w:r>
            <w:r>
              <w:rPr>
                <w:rFonts w:hint="eastAsia" w:asciiTheme="minorEastAsia" w:hAnsiTheme="minorEastAsia" w:eastAsiaTheme="minorEastAsia" w:cstheme="minorEastAsia"/>
                <w:b/>
                <w:bCs/>
                <w:sz w:val="21"/>
                <w:szCs w:val="21"/>
              </w:rPr>
              <w:t>(原厂保)</w:t>
            </w: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0A841146">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影像科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2085">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MRI</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EEEB">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MAGENTOM PRISMA</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460B">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西门子</w:t>
            </w:r>
          </w:p>
        </w:tc>
      </w:tr>
      <w:tr w14:paraId="40FE7421">
        <w:tblPrEx>
          <w:tblCellMar>
            <w:top w:w="0" w:type="dxa"/>
            <w:left w:w="108" w:type="dxa"/>
            <w:bottom w:w="0" w:type="dxa"/>
            <w:right w:w="108" w:type="dxa"/>
          </w:tblCellMar>
        </w:tblPrEx>
        <w:trPr>
          <w:trHeight w:val="270" w:hRule="atLeast"/>
        </w:trPr>
        <w:tc>
          <w:tcPr>
            <w:tcW w:w="1089" w:type="dxa"/>
            <w:vMerge w:val="continue"/>
            <w:tcBorders>
              <w:left w:val="single" w:color="000000" w:sz="4" w:space="0"/>
              <w:right w:val="single" w:color="000000" w:sz="4" w:space="0"/>
            </w:tcBorders>
            <w:shd w:val="clear" w:color="auto" w:fill="auto"/>
            <w:vAlign w:val="center"/>
          </w:tcPr>
          <w:p w14:paraId="34888970">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6DB778F4">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影像科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D46F">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MRI</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0611">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INGENIA3.0T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4941">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飞利浦</w:t>
            </w:r>
          </w:p>
        </w:tc>
      </w:tr>
      <w:tr w14:paraId="5136AED1">
        <w:tblPrEx>
          <w:tblCellMar>
            <w:top w:w="0" w:type="dxa"/>
            <w:left w:w="108" w:type="dxa"/>
            <w:bottom w:w="0" w:type="dxa"/>
            <w:right w:w="108" w:type="dxa"/>
          </w:tblCellMar>
        </w:tblPrEx>
        <w:trPr>
          <w:trHeight w:val="270" w:hRule="atLeast"/>
        </w:trPr>
        <w:tc>
          <w:tcPr>
            <w:tcW w:w="1089" w:type="dxa"/>
            <w:vMerge w:val="continue"/>
            <w:tcBorders>
              <w:left w:val="single" w:color="000000" w:sz="4" w:space="0"/>
              <w:right w:val="single" w:color="000000" w:sz="4" w:space="0"/>
            </w:tcBorders>
            <w:shd w:val="clear" w:color="auto" w:fill="auto"/>
            <w:vAlign w:val="center"/>
          </w:tcPr>
          <w:p w14:paraId="2D6644CA">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2E6F3B0F">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影像科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5F4C">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CT</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D047">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BRILLIANCEICT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DB31">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飞利浦</w:t>
            </w:r>
          </w:p>
        </w:tc>
      </w:tr>
      <w:tr w14:paraId="1B8800A5">
        <w:tblPrEx>
          <w:tblCellMar>
            <w:top w:w="0" w:type="dxa"/>
            <w:left w:w="108" w:type="dxa"/>
            <w:bottom w:w="0" w:type="dxa"/>
            <w:right w:w="108" w:type="dxa"/>
          </w:tblCellMar>
        </w:tblPrEx>
        <w:trPr>
          <w:trHeight w:val="270" w:hRule="atLeast"/>
        </w:trPr>
        <w:tc>
          <w:tcPr>
            <w:tcW w:w="1089" w:type="dxa"/>
            <w:vMerge w:val="continue"/>
            <w:tcBorders>
              <w:left w:val="single" w:color="000000" w:sz="4" w:space="0"/>
              <w:right w:val="single" w:color="000000" w:sz="4" w:space="0"/>
            </w:tcBorders>
            <w:shd w:val="clear" w:color="auto" w:fill="auto"/>
            <w:vAlign w:val="center"/>
          </w:tcPr>
          <w:p w14:paraId="52387FEE">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1A708CEA">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影像科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4DF4">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CT</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A11D">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IQON SPECTRAL</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B64E">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飞利浦</w:t>
            </w:r>
          </w:p>
        </w:tc>
      </w:tr>
      <w:tr w14:paraId="0C929F28">
        <w:tblPrEx>
          <w:tblCellMar>
            <w:top w:w="0" w:type="dxa"/>
            <w:left w:w="108" w:type="dxa"/>
            <w:bottom w:w="0" w:type="dxa"/>
            <w:right w:w="108" w:type="dxa"/>
          </w:tblCellMar>
        </w:tblPrEx>
        <w:trPr>
          <w:trHeight w:val="270" w:hRule="atLeast"/>
        </w:trPr>
        <w:tc>
          <w:tcPr>
            <w:tcW w:w="1089" w:type="dxa"/>
            <w:vMerge w:val="continue"/>
            <w:tcBorders>
              <w:left w:val="single" w:color="000000" w:sz="4" w:space="0"/>
              <w:right w:val="single" w:color="000000" w:sz="4" w:space="0"/>
            </w:tcBorders>
            <w:shd w:val="clear" w:color="auto" w:fill="auto"/>
            <w:vAlign w:val="center"/>
          </w:tcPr>
          <w:p w14:paraId="20E79AD1">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703E0A8C">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放疗科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074B">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医用直线加速器</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171A">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Trilogy</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F683">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瓦里安</w:t>
            </w:r>
          </w:p>
        </w:tc>
      </w:tr>
      <w:tr w14:paraId="3951F31E">
        <w:tblPrEx>
          <w:tblCellMar>
            <w:top w:w="0" w:type="dxa"/>
            <w:left w:w="108" w:type="dxa"/>
            <w:bottom w:w="0" w:type="dxa"/>
            <w:right w:w="108" w:type="dxa"/>
          </w:tblCellMar>
        </w:tblPrEx>
        <w:trPr>
          <w:trHeight w:val="270" w:hRule="atLeast"/>
        </w:trPr>
        <w:tc>
          <w:tcPr>
            <w:tcW w:w="1089" w:type="dxa"/>
            <w:vMerge w:val="continue"/>
            <w:tcBorders>
              <w:left w:val="single" w:color="000000" w:sz="4" w:space="0"/>
              <w:right w:val="single" w:color="000000" w:sz="4" w:space="0"/>
            </w:tcBorders>
            <w:shd w:val="clear" w:color="auto" w:fill="auto"/>
            <w:vAlign w:val="center"/>
          </w:tcPr>
          <w:p w14:paraId="6B10EED3">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2201B75D">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核医学科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75F7">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ECT</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BF84">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Discovery NM/CT 670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FA81">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通用电气GE </w:t>
            </w:r>
          </w:p>
        </w:tc>
      </w:tr>
      <w:tr w14:paraId="2CBADAC8">
        <w:tblPrEx>
          <w:tblCellMar>
            <w:top w:w="0" w:type="dxa"/>
            <w:left w:w="108" w:type="dxa"/>
            <w:bottom w:w="0" w:type="dxa"/>
            <w:right w:w="108" w:type="dxa"/>
          </w:tblCellMar>
        </w:tblPrEx>
        <w:trPr>
          <w:trHeight w:val="270" w:hRule="atLeast"/>
        </w:trPr>
        <w:tc>
          <w:tcPr>
            <w:tcW w:w="1089" w:type="dxa"/>
            <w:vMerge w:val="continue"/>
            <w:tcBorders>
              <w:left w:val="single" w:color="000000" w:sz="4" w:space="0"/>
              <w:right w:val="single" w:color="000000" w:sz="4" w:space="0"/>
            </w:tcBorders>
            <w:shd w:val="clear" w:color="auto" w:fill="auto"/>
            <w:vAlign w:val="center"/>
          </w:tcPr>
          <w:p w14:paraId="13780054">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0859">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手术室</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853C">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DSA</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020F">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ARTISZEEGOIII</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C791">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西门子</w:t>
            </w:r>
          </w:p>
        </w:tc>
      </w:tr>
      <w:tr w14:paraId="48FB6544">
        <w:tblPrEx>
          <w:tblCellMar>
            <w:top w:w="0" w:type="dxa"/>
            <w:left w:w="108" w:type="dxa"/>
            <w:bottom w:w="0" w:type="dxa"/>
            <w:right w:w="108" w:type="dxa"/>
          </w:tblCellMar>
        </w:tblPrEx>
        <w:trPr>
          <w:trHeight w:val="270" w:hRule="atLeast"/>
        </w:trPr>
        <w:tc>
          <w:tcPr>
            <w:tcW w:w="1089" w:type="dxa"/>
            <w:vMerge w:val="continue"/>
            <w:tcBorders>
              <w:left w:val="single" w:color="000000" w:sz="4" w:space="0"/>
              <w:bottom w:val="single" w:color="000000" w:sz="4" w:space="0"/>
              <w:right w:val="single" w:color="000000" w:sz="4" w:space="0"/>
            </w:tcBorders>
            <w:shd w:val="clear" w:color="auto" w:fill="auto"/>
            <w:vAlign w:val="center"/>
          </w:tcPr>
          <w:p w14:paraId="180DA1CF">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D10D">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手术室</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7B8D">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DSA</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1EF4">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Azurion 5M20（C）</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47DD">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飞利浦</w:t>
            </w:r>
          </w:p>
        </w:tc>
      </w:tr>
      <w:tr w14:paraId="32000EC6">
        <w:tblPrEx>
          <w:tblCellMar>
            <w:top w:w="0" w:type="dxa"/>
            <w:left w:w="108" w:type="dxa"/>
            <w:bottom w:w="0" w:type="dxa"/>
            <w:right w:w="108" w:type="dxa"/>
          </w:tblCellMar>
        </w:tblPrEx>
        <w:trPr>
          <w:trHeight w:val="270" w:hRule="atLeast"/>
        </w:trPr>
        <w:tc>
          <w:tcPr>
            <w:tcW w:w="1089" w:type="dxa"/>
            <w:vMerge w:val="restart"/>
            <w:tcBorders>
              <w:top w:val="nil"/>
              <w:left w:val="single" w:color="000000" w:sz="4" w:space="0"/>
              <w:right w:val="single" w:color="000000" w:sz="4" w:space="0"/>
            </w:tcBorders>
            <w:shd w:val="clear" w:color="auto" w:fill="auto"/>
            <w:vAlign w:val="center"/>
          </w:tcPr>
          <w:p w14:paraId="3BFB320C">
            <w:pPr>
              <w:spacing w:after="0"/>
              <w:jc w:val="center"/>
              <w:textAlignment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射线类</w:t>
            </w: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64C8616B">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放疗科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CC61">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大孔径CT</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F982">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PRONTO-SE</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4C7E">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飞利浦</w:t>
            </w:r>
          </w:p>
        </w:tc>
      </w:tr>
      <w:tr w14:paraId="2EB8A243">
        <w:tblPrEx>
          <w:tblCellMar>
            <w:top w:w="0" w:type="dxa"/>
            <w:left w:w="108" w:type="dxa"/>
            <w:bottom w:w="0" w:type="dxa"/>
            <w:right w:w="108" w:type="dxa"/>
          </w:tblCellMar>
        </w:tblPrEx>
        <w:trPr>
          <w:trHeight w:val="270" w:hRule="atLeast"/>
        </w:trPr>
        <w:tc>
          <w:tcPr>
            <w:tcW w:w="1089" w:type="dxa"/>
            <w:vMerge w:val="continue"/>
            <w:tcBorders>
              <w:left w:val="single" w:color="000000" w:sz="4" w:space="0"/>
              <w:right w:val="single" w:color="000000" w:sz="4" w:space="0"/>
            </w:tcBorders>
            <w:shd w:val="clear" w:color="auto" w:fill="auto"/>
            <w:vAlign w:val="center"/>
          </w:tcPr>
          <w:p w14:paraId="3D7C4109">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1674F787">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发热门诊</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475E">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CT</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A1E9">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UCT 510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5D2B">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联影</w:t>
            </w:r>
          </w:p>
        </w:tc>
      </w:tr>
      <w:tr w14:paraId="5A24EC69">
        <w:tblPrEx>
          <w:tblCellMar>
            <w:top w:w="0" w:type="dxa"/>
            <w:left w:w="108" w:type="dxa"/>
            <w:bottom w:w="0" w:type="dxa"/>
            <w:right w:w="108" w:type="dxa"/>
          </w:tblCellMar>
        </w:tblPrEx>
        <w:trPr>
          <w:trHeight w:val="270" w:hRule="atLeast"/>
        </w:trPr>
        <w:tc>
          <w:tcPr>
            <w:tcW w:w="1089" w:type="dxa"/>
            <w:vMerge w:val="continue"/>
            <w:tcBorders>
              <w:left w:val="single" w:color="000000" w:sz="4" w:space="0"/>
              <w:right w:val="single" w:color="000000" w:sz="4" w:space="0"/>
            </w:tcBorders>
            <w:shd w:val="clear" w:color="auto" w:fill="auto"/>
            <w:vAlign w:val="center"/>
          </w:tcPr>
          <w:p w14:paraId="58B2BAD3">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10A71555">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手术室</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E6D5">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移动式C形臂X射线机</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3B86">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ZIEHM SOLO</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187E">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Ziehm</w:t>
            </w:r>
          </w:p>
        </w:tc>
      </w:tr>
      <w:tr w14:paraId="4A7CAB17">
        <w:tblPrEx>
          <w:tblCellMar>
            <w:top w:w="0" w:type="dxa"/>
            <w:left w:w="108" w:type="dxa"/>
            <w:bottom w:w="0" w:type="dxa"/>
            <w:right w:w="108" w:type="dxa"/>
          </w:tblCellMar>
        </w:tblPrEx>
        <w:trPr>
          <w:trHeight w:val="270" w:hRule="atLeast"/>
        </w:trPr>
        <w:tc>
          <w:tcPr>
            <w:tcW w:w="1089" w:type="dxa"/>
            <w:vMerge w:val="continue"/>
            <w:tcBorders>
              <w:left w:val="single" w:color="000000" w:sz="4" w:space="0"/>
              <w:right w:val="single" w:color="000000" w:sz="4" w:space="0"/>
            </w:tcBorders>
            <w:shd w:val="clear" w:color="auto" w:fill="auto"/>
            <w:vAlign w:val="center"/>
          </w:tcPr>
          <w:p w14:paraId="1CC7871E">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56761EB4">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手术室</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A1F5">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移动式C形臂X射线机</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26F5">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ARCADIS Varic</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4CFE">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西门子</w:t>
            </w:r>
          </w:p>
        </w:tc>
      </w:tr>
      <w:tr w14:paraId="132F418A">
        <w:tblPrEx>
          <w:tblCellMar>
            <w:top w:w="0" w:type="dxa"/>
            <w:left w:w="108" w:type="dxa"/>
            <w:bottom w:w="0" w:type="dxa"/>
            <w:right w:w="108" w:type="dxa"/>
          </w:tblCellMar>
        </w:tblPrEx>
        <w:trPr>
          <w:trHeight w:val="270" w:hRule="atLeast"/>
        </w:trPr>
        <w:tc>
          <w:tcPr>
            <w:tcW w:w="1089" w:type="dxa"/>
            <w:vMerge w:val="continue"/>
            <w:tcBorders>
              <w:left w:val="single" w:color="000000" w:sz="4" w:space="0"/>
              <w:right w:val="single" w:color="000000" w:sz="4" w:space="0"/>
            </w:tcBorders>
            <w:shd w:val="clear" w:color="auto" w:fill="auto"/>
            <w:vAlign w:val="center"/>
          </w:tcPr>
          <w:p w14:paraId="39EB571E">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56F24FB3">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影像科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634F">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C形臂X射线机（碎石）</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6EB5">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DG3310B1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0401">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华东</w:t>
            </w:r>
          </w:p>
        </w:tc>
      </w:tr>
      <w:tr w14:paraId="26436367">
        <w:tblPrEx>
          <w:tblCellMar>
            <w:top w:w="0" w:type="dxa"/>
            <w:left w:w="108" w:type="dxa"/>
            <w:bottom w:w="0" w:type="dxa"/>
            <w:right w:w="108" w:type="dxa"/>
          </w:tblCellMar>
        </w:tblPrEx>
        <w:trPr>
          <w:trHeight w:val="270" w:hRule="atLeast"/>
        </w:trPr>
        <w:tc>
          <w:tcPr>
            <w:tcW w:w="1089" w:type="dxa"/>
            <w:vMerge w:val="continue"/>
            <w:tcBorders>
              <w:left w:val="single" w:color="000000" w:sz="4" w:space="0"/>
              <w:right w:val="single" w:color="000000" w:sz="4" w:space="0"/>
            </w:tcBorders>
            <w:shd w:val="clear" w:color="auto" w:fill="auto"/>
            <w:vAlign w:val="center"/>
          </w:tcPr>
          <w:p w14:paraId="3EEB2F30">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0E4942BA">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影像科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56FF">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数字化乳腺X射线机系统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AF2D">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SENOGRAPHEESSENTIAL</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AB82">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通用电气GE </w:t>
            </w:r>
          </w:p>
        </w:tc>
      </w:tr>
      <w:tr w14:paraId="0EB5605F">
        <w:tblPrEx>
          <w:tblCellMar>
            <w:top w:w="0" w:type="dxa"/>
            <w:left w:w="108" w:type="dxa"/>
            <w:bottom w:w="0" w:type="dxa"/>
            <w:right w:w="108" w:type="dxa"/>
          </w:tblCellMar>
        </w:tblPrEx>
        <w:trPr>
          <w:trHeight w:val="270" w:hRule="atLeast"/>
        </w:trPr>
        <w:tc>
          <w:tcPr>
            <w:tcW w:w="1089" w:type="dxa"/>
            <w:vMerge w:val="continue"/>
            <w:tcBorders>
              <w:left w:val="single" w:color="000000" w:sz="4" w:space="0"/>
              <w:right w:val="single" w:color="000000" w:sz="4" w:space="0"/>
            </w:tcBorders>
            <w:shd w:val="clear" w:color="auto" w:fill="auto"/>
            <w:vAlign w:val="center"/>
          </w:tcPr>
          <w:p w14:paraId="24E81047">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7A3E69AE">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影像科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39F8">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多功能胃肠(动态平板)</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2A16">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GMMOPERA1000MA</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938A">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意大利GMM</w:t>
            </w:r>
          </w:p>
        </w:tc>
      </w:tr>
      <w:tr w14:paraId="19E03382">
        <w:tblPrEx>
          <w:tblCellMar>
            <w:top w:w="0" w:type="dxa"/>
            <w:left w:w="108" w:type="dxa"/>
            <w:bottom w:w="0" w:type="dxa"/>
            <w:right w:w="108" w:type="dxa"/>
          </w:tblCellMar>
        </w:tblPrEx>
        <w:trPr>
          <w:trHeight w:val="270" w:hRule="atLeast"/>
        </w:trPr>
        <w:tc>
          <w:tcPr>
            <w:tcW w:w="1089" w:type="dxa"/>
            <w:vMerge w:val="continue"/>
            <w:tcBorders>
              <w:left w:val="single" w:color="000000" w:sz="4" w:space="0"/>
              <w:right w:val="single" w:color="000000" w:sz="4" w:space="0"/>
            </w:tcBorders>
            <w:shd w:val="clear" w:color="auto" w:fill="auto"/>
            <w:vAlign w:val="center"/>
          </w:tcPr>
          <w:p w14:paraId="429B5553">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4E8AED03">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影像科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0901">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DR(单板)</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6A16">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联影UDR770I</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8993">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联影</w:t>
            </w:r>
          </w:p>
        </w:tc>
      </w:tr>
      <w:tr w14:paraId="22119F4E">
        <w:tblPrEx>
          <w:tblCellMar>
            <w:top w:w="0" w:type="dxa"/>
            <w:left w:w="108" w:type="dxa"/>
            <w:bottom w:w="0" w:type="dxa"/>
            <w:right w:w="108" w:type="dxa"/>
          </w:tblCellMar>
        </w:tblPrEx>
        <w:trPr>
          <w:trHeight w:val="270" w:hRule="atLeast"/>
        </w:trPr>
        <w:tc>
          <w:tcPr>
            <w:tcW w:w="1089" w:type="dxa"/>
            <w:vMerge w:val="continue"/>
            <w:tcBorders>
              <w:left w:val="single" w:color="000000" w:sz="4" w:space="0"/>
              <w:right w:val="single" w:color="000000" w:sz="4" w:space="0"/>
            </w:tcBorders>
            <w:shd w:val="clear" w:color="auto" w:fill="auto"/>
            <w:vAlign w:val="center"/>
          </w:tcPr>
          <w:p w14:paraId="0BF72D62">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710FC97E">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影像科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62303">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DR(双板)</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19E6">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DEFINIUM6000V</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5B0B">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通用电气GE </w:t>
            </w:r>
          </w:p>
        </w:tc>
      </w:tr>
      <w:tr w14:paraId="5C4B32BC">
        <w:tblPrEx>
          <w:tblCellMar>
            <w:top w:w="0" w:type="dxa"/>
            <w:left w:w="108" w:type="dxa"/>
            <w:bottom w:w="0" w:type="dxa"/>
            <w:right w:w="108" w:type="dxa"/>
          </w:tblCellMar>
        </w:tblPrEx>
        <w:trPr>
          <w:trHeight w:val="270" w:hRule="atLeast"/>
        </w:trPr>
        <w:tc>
          <w:tcPr>
            <w:tcW w:w="1089" w:type="dxa"/>
            <w:vMerge w:val="continue"/>
            <w:tcBorders>
              <w:left w:val="single" w:color="000000" w:sz="4" w:space="0"/>
              <w:right w:val="single" w:color="000000" w:sz="4" w:space="0"/>
            </w:tcBorders>
            <w:shd w:val="clear" w:color="auto" w:fill="auto"/>
            <w:vAlign w:val="center"/>
          </w:tcPr>
          <w:p w14:paraId="0022F633">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69E3D44F">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影像科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5BF7">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DR(双板)</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110A">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DEFINIUM6000V</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E48E">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通用电气GE </w:t>
            </w:r>
          </w:p>
        </w:tc>
      </w:tr>
      <w:tr w14:paraId="22E1D9E2">
        <w:tblPrEx>
          <w:tblCellMar>
            <w:top w:w="0" w:type="dxa"/>
            <w:left w:w="108" w:type="dxa"/>
            <w:bottom w:w="0" w:type="dxa"/>
            <w:right w:w="108" w:type="dxa"/>
          </w:tblCellMar>
        </w:tblPrEx>
        <w:trPr>
          <w:trHeight w:val="270" w:hRule="atLeast"/>
        </w:trPr>
        <w:tc>
          <w:tcPr>
            <w:tcW w:w="1089" w:type="dxa"/>
            <w:vMerge w:val="continue"/>
            <w:tcBorders>
              <w:left w:val="single" w:color="000000" w:sz="4" w:space="0"/>
              <w:right w:val="single" w:color="000000" w:sz="4" w:space="0"/>
            </w:tcBorders>
            <w:shd w:val="clear" w:color="auto" w:fill="auto"/>
            <w:vAlign w:val="center"/>
          </w:tcPr>
          <w:p w14:paraId="2901CD8B">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05DC09C5">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体检中心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8330">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DR(单板)</w:t>
            </w:r>
          </w:p>
        </w:tc>
        <w:tc>
          <w:tcPr>
            <w:tcW w:w="1875" w:type="dxa"/>
            <w:tcBorders>
              <w:top w:val="nil"/>
              <w:left w:val="nil"/>
              <w:bottom w:val="nil"/>
              <w:right w:val="nil"/>
            </w:tcBorders>
            <w:shd w:val="clear" w:color="auto" w:fill="auto"/>
            <w:noWrap/>
            <w:vAlign w:val="center"/>
          </w:tcPr>
          <w:p w14:paraId="4897E3EB">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联影UDR550I</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089D">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联影</w:t>
            </w:r>
          </w:p>
        </w:tc>
      </w:tr>
      <w:tr w14:paraId="19C8FF62">
        <w:tblPrEx>
          <w:tblCellMar>
            <w:top w:w="0" w:type="dxa"/>
            <w:left w:w="108" w:type="dxa"/>
            <w:bottom w:w="0" w:type="dxa"/>
            <w:right w:w="108" w:type="dxa"/>
          </w:tblCellMar>
        </w:tblPrEx>
        <w:trPr>
          <w:trHeight w:val="270" w:hRule="atLeast"/>
        </w:trPr>
        <w:tc>
          <w:tcPr>
            <w:tcW w:w="1089" w:type="dxa"/>
            <w:vMerge w:val="continue"/>
            <w:tcBorders>
              <w:left w:val="single" w:color="000000" w:sz="4" w:space="0"/>
              <w:right w:val="single" w:color="000000" w:sz="4" w:space="0"/>
            </w:tcBorders>
            <w:shd w:val="clear" w:color="auto" w:fill="auto"/>
            <w:vAlign w:val="center"/>
          </w:tcPr>
          <w:p w14:paraId="16285186">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134ED2AC">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影像科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52BC">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移动DR</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09F7">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REVOLUTION DR</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3068">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锐珂</w:t>
            </w:r>
          </w:p>
        </w:tc>
      </w:tr>
      <w:tr w14:paraId="30D4F855">
        <w:tblPrEx>
          <w:tblCellMar>
            <w:top w:w="0" w:type="dxa"/>
            <w:left w:w="108" w:type="dxa"/>
            <w:bottom w:w="0" w:type="dxa"/>
            <w:right w:w="108" w:type="dxa"/>
          </w:tblCellMar>
        </w:tblPrEx>
        <w:trPr>
          <w:trHeight w:val="270" w:hRule="atLeast"/>
        </w:trPr>
        <w:tc>
          <w:tcPr>
            <w:tcW w:w="1089" w:type="dxa"/>
            <w:vMerge w:val="continue"/>
            <w:tcBorders>
              <w:left w:val="single" w:color="000000" w:sz="4" w:space="0"/>
              <w:right w:val="single" w:color="000000" w:sz="4" w:space="0"/>
            </w:tcBorders>
            <w:shd w:val="clear" w:color="auto" w:fill="auto"/>
            <w:vAlign w:val="center"/>
          </w:tcPr>
          <w:p w14:paraId="228BD7FF">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6E28D50A">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影像科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717A">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移动DR</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0100">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OPTIMAXR220AMX</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8CEE">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通用电气GE </w:t>
            </w:r>
          </w:p>
        </w:tc>
      </w:tr>
      <w:tr w14:paraId="323CA999">
        <w:tblPrEx>
          <w:tblCellMar>
            <w:top w:w="0" w:type="dxa"/>
            <w:left w:w="108" w:type="dxa"/>
            <w:bottom w:w="0" w:type="dxa"/>
            <w:right w:w="108" w:type="dxa"/>
          </w:tblCellMar>
        </w:tblPrEx>
        <w:trPr>
          <w:trHeight w:val="270" w:hRule="atLeast"/>
        </w:trPr>
        <w:tc>
          <w:tcPr>
            <w:tcW w:w="1089" w:type="dxa"/>
            <w:vMerge w:val="continue"/>
            <w:tcBorders>
              <w:left w:val="single" w:color="000000" w:sz="4" w:space="0"/>
              <w:right w:val="single" w:color="000000" w:sz="4" w:space="0"/>
            </w:tcBorders>
            <w:shd w:val="clear" w:color="auto" w:fill="auto"/>
            <w:vAlign w:val="center"/>
          </w:tcPr>
          <w:p w14:paraId="04E495DD">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4E04E398">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影像科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3AA2">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移动DR</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87A5">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OPTIMAXR220AMX</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CB34">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通用电气GE </w:t>
            </w:r>
          </w:p>
        </w:tc>
      </w:tr>
      <w:tr w14:paraId="4D8BEF3C">
        <w:tblPrEx>
          <w:tblCellMar>
            <w:top w:w="0" w:type="dxa"/>
            <w:left w:w="108" w:type="dxa"/>
            <w:bottom w:w="0" w:type="dxa"/>
            <w:right w:w="108" w:type="dxa"/>
          </w:tblCellMar>
        </w:tblPrEx>
        <w:trPr>
          <w:trHeight w:val="270" w:hRule="atLeast"/>
        </w:trPr>
        <w:tc>
          <w:tcPr>
            <w:tcW w:w="1089" w:type="dxa"/>
            <w:vMerge w:val="continue"/>
            <w:tcBorders>
              <w:left w:val="single" w:color="000000" w:sz="4" w:space="0"/>
              <w:right w:val="single" w:color="000000" w:sz="4" w:space="0"/>
            </w:tcBorders>
            <w:shd w:val="clear" w:color="auto" w:fill="auto"/>
            <w:vAlign w:val="center"/>
          </w:tcPr>
          <w:p w14:paraId="3B32EEE7">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14B0D031">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体检中心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7E1E">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骨密度仪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CF52">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LUNARIDXA</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EFB0">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通用电气GE </w:t>
            </w:r>
          </w:p>
        </w:tc>
      </w:tr>
      <w:tr w14:paraId="690930FF">
        <w:tblPrEx>
          <w:tblCellMar>
            <w:top w:w="0" w:type="dxa"/>
            <w:left w:w="108" w:type="dxa"/>
            <w:bottom w:w="0" w:type="dxa"/>
            <w:right w:w="108" w:type="dxa"/>
          </w:tblCellMar>
        </w:tblPrEx>
        <w:trPr>
          <w:trHeight w:val="270" w:hRule="atLeast"/>
        </w:trPr>
        <w:tc>
          <w:tcPr>
            <w:tcW w:w="1089" w:type="dxa"/>
            <w:vMerge w:val="continue"/>
            <w:tcBorders>
              <w:left w:val="single" w:color="000000" w:sz="4" w:space="0"/>
              <w:right w:val="single" w:color="000000" w:sz="4" w:space="0"/>
            </w:tcBorders>
            <w:shd w:val="clear" w:color="auto" w:fill="auto"/>
            <w:vAlign w:val="center"/>
          </w:tcPr>
          <w:p w14:paraId="32472612">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5D61EF80">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口腔科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AA9C">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口腔X射线数字化体层摄影设备</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CD2B">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NewTom VGi</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A8BB">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NEWTOM</w:t>
            </w:r>
          </w:p>
        </w:tc>
      </w:tr>
      <w:tr w14:paraId="4268D746">
        <w:tblPrEx>
          <w:tblCellMar>
            <w:top w:w="0" w:type="dxa"/>
            <w:left w:w="108" w:type="dxa"/>
            <w:bottom w:w="0" w:type="dxa"/>
            <w:right w:w="108" w:type="dxa"/>
          </w:tblCellMar>
        </w:tblPrEx>
        <w:trPr>
          <w:trHeight w:val="270" w:hRule="atLeast"/>
        </w:trPr>
        <w:tc>
          <w:tcPr>
            <w:tcW w:w="1089" w:type="dxa"/>
            <w:vMerge w:val="continue"/>
            <w:tcBorders>
              <w:left w:val="single" w:color="000000" w:sz="4" w:space="0"/>
              <w:right w:val="single" w:color="000000" w:sz="4" w:space="0"/>
            </w:tcBorders>
            <w:shd w:val="clear" w:color="auto" w:fill="auto"/>
            <w:vAlign w:val="center"/>
          </w:tcPr>
          <w:p w14:paraId="04CEF7C9">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6CCDA179">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口腔科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5A27">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口腔数字化全景X光机</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9ABB">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CRANEXDPP1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ABD7">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卡瓦盛邦</w:t>
            </w:r>
          </w:p>
        </w:tc>
      </w:tr>
      <w:tr w14:paraId="7DBC2C5A">
        <w:tblPrEx>
          <w:tblCellMar>
            <w:top w:w="0" w:type="dxa"/>
            <w:left w:w="108" w:type="dxa"/>
            <w:bottom w:w="0" w:type="dxa"/>
            <w:right w:w="108" w:type="dxa"/>
          </w:tblCellMar>
        </w:tblPrEx>
        <w:trPr>
          <w:trHeight w:val="270" w:hRule="atLeast"/>
        </w:trPr>
        <w:tc>
          <w:tcPr>
            <w:tcW w:w="1089" w:type="dxa"/>
            <w:vMerge w:val="continue"/>
            <w:tcBorders>
              <w:left w:val="single" w:color="000000" w:sz="4" w:space="0"/>
              <w:bottom w:val="nil"/>
              <w:right w:val="single" w:color="000000" w:sz="4" w:space="0"/>
            </w:tcBorders>
            <w:shd w:val="clear" w:color="auto" w:fill="auto"/>
            <w:vAlign w:val="center"/>
          </w:tcPr>
          <w:p w14:paraId="638036BA">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nil"/>
              <w:bottom w:val="single" w:color="000000" w:sz="4" w:space="0"/>
              <w:right w:val="single" w:color="000000" w:sz="4" w:space="0"/>
            </w:tcBorders>
            <w:shd w:val="clear" w:color="auto" w:fill="auto"/>
            <w:noWrap/>
            <w:vAlign w:val="center"/>
          </w:tcPr>
          <w:p w14:paraId="3F2AA5C1">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口腔科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EEBD">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口腔数字化CR牙片机</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38A7">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EXPERT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52C9">
            <w:pPr>
              <w:spacing w:after="0"/>
              <w:textAlignment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卡瓦盛邦</w:t>
            </w:r>
          </w:p>
        </w:tc>
      </w:tr>
      <w:tr w14:paraId="65D751ED">
        <w:tblPrEx>
          <w:tblCellMar>
            <w:top w:w="0" w:type="dxa"/>
            <w:left w:w="108" w:type="dxa"/>
            <w:bottom w:w="0" w:type="dxa"/>
            <w:right w:w="108" w:type="dxa"/>
          </w:tblCellMar>
        </w:tblPrEx>
        <w:trPr>
          <w:trHeight w:val="270" w:hRule="atLeast"/>
        </w:trPr>
        <w:tc>
          <w:tcPr>
            <w:tcW w:w="1089" w:type="dxa"/>
            <w:vMerge w:val="restart"/>
            <w:tcBorders>
              <w:top w:val="single" w:color="000000" w:sz="4" w:space="0"/>
              <w:left w:val="single" w:color="000000" w:sz="4" w:space="0"/>
              <w:bottom w:val="nil"/>
              <w:right w:val="single" w:color="000000" w:sz="4" w:space="0"/>
            </w:tcBorders>
            <w:shd w:val="clear" w:color="auto" w:fill="auto"/>
            <w:noWrap/>
            <w:vAlign w:val="center"/>
          </w:tcPr>
          <w:p w14:paraId="05354FCB">
            <w:pPr>
              <w:spacing w:after="0"/>
              <w:jc w:val="center"/>
              <w:textAlignment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超声类</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4B8E6">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VIP体检</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76D2A8">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超声诊断仪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C9813">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VINNOG50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5E096">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飞依诺</w:t>
            </w:r>
          </w:p>
        </w:tc>
      </w:tr>
      <w:tr w14:paraId="6EFBE1CA">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A3C21F1">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97581D">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VIP体检</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C330A">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超声诊断仪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8905F">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AFFINITI 30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0155F5">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飞利浦</w:t>
            </w:r>
          </w:p>
        </w:tc>
      </w:tr>
      <w:tr w14:paraId="7BB42F85">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EBC26F4">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C3245">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体检中心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6B78B">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超声诊断仪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ADB7A">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AFFINITI 30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F46E8A">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飞利浦</w:t>
            </w:r>
          </w:p>
        </w:tc>
      </w:tr>
      <w:tr w14:paraId="6BD328C8">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17BF84D4">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46DFDA">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体检中心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5EAC0A">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超声诊断仪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584AF">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VINNOG50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37B42">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飞依诺</w:t>
            </w:r>
          </w:p>
        </w:tc>
      </w:tr>
      <w:tr w14:paraId="39F77747">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E9ECA7C">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DB46A">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体检中心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DCCA66">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超声诊断仪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FCC4D">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VINNO70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398B4">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飞依诺</w:t>
            </w:r>
          </w:p>
        </w:tc>
      </w:tr>
      <w:tr w14:paraId="1E09B5E5">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DCB907E">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AE59F">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3CD68">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超声诊断仪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1265D">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MYLABCLASSC</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D16D6">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百胜</w:t>
            </w:r>
          </w:p>
        </w:tc>
      </w:tr>
      <w:tr w14:paraId="1F248E4D">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BF9D8C9">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4191E">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5BF69">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超声诊断仪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827D4">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VIVIDE9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5386D">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通用电气GE </w:t>
            </w:r>
          </w:p>
        </w:tc>
      </w:tr>
      <w:tr w14:paraId="720F64C4">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68AD17B">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52C01">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B2BF07">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超声诊断仪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58460">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VOLUSONE8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193AC">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通用电气GE </w:t>
            </w:r>
          </w:p>
        </w:tc>
      </w:tr>
      <w:tr w14:paraId="6DA1538B">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6A5BCA0">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9A9CF">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DC8FD0">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彩色超声诊断系统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4DCDF">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HD15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3FD84F">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飞利浦</w:t>
            </w:r>
          </w:p>
        </w:tc>
      </w:tr>
      <w:tr w14:paraId="73AF1DF8">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EE6361F">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68E6B">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西五病区</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49618">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便携式彩色超声诊断仪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4C648">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索诺声 EDGE</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24F28">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索诺声 </w:t>
            </w:r>
          </w:p>
        </w:tc>
      </w:tr>
      <w:tr w14:paraId="24667DB0">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D7C600E">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27437">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麻醉科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3CA6">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便携式彩色超声诊断仪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2E7A">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索诺声 S-Nerve</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A693">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索诺声</w:t>
            </w:r>
          </w:p>
        </w:tc>
      </w:tr>
      <w:tr w14:paraId="18D73B8F">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15E70DE">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96364">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麻醉科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F8D48">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便携式彩色多普勒超声系统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E5A20">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INNOSIGHT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1EA86B">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飞利浦</w:t>
            </w:r>
          </w:p>
        </w:tc>
      </w:tr>
      <w:tr w14:paraId="78AE10D4">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2044EEB">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569E4">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急诊抢救室</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B0277">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便携式彩色多普勒超声仪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2B74C">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M58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3D54B">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迈瑞</w:t>
            </w:r>
          </w:p>
        </w:tc>
      </w:tr>
      <w:tr w14:paraId="388468D5">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A45B058">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76E8A">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北九病区</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07DFD">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便携式彩色超声诊断仪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2BE58C">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迈瑞 M7 Series</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EF896">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迈瑞</w:t>
            </w:r>
          </w:p>
        </w:tc>
      </w:tr>
      <w:tr w14:paraId="19E70A8D">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AA6AB5D">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9183">
            <w:pPr>
              <w:spacing w:after="0"/>
              <w:jc w:val="both"/>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泌尿外科门诊</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5DE7">
            <w:pPr>
              <w:spacing w:after="0"/>
              <w:jc w:val="both"/>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超声诊断仪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9062">
            <w:pPr>
              <w:spacing w:after="0"/>
              <w:jc w:val="both"/>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VINNOX5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BFBA">
            <w:pPr>
              <w:spacing w:after="0"/>
              <w:jc w:val="both"/>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飞依诺</w:t>
            </w:r>
          </w:p>
        </w:tc>
      </w:tr>
      <w:tr w14:paraId="305FECCC">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1071BA8">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B5AEFC">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内分泌科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DA540">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便携式彩色超声诊断仪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ED396">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迈瑞 M7 Series</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33F2F">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迈瑞</w:t>
            </w:r>
          </w:p>
        </w:tc>
      </w:tr>
      <w:tr w14:paraId="34D2D210">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9D72237">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4050A">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F3121">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超声诊断系统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95E58">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Oxana2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BEC57">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西门子</w:t>
            </w:r>
          </w:p>
        </w:tc>
      </w:tr>
      <w:tr w14:paraId="330C6A0E">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69BF6ED">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895278">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FEC45">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超声诊断仪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4D05FE">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LOGIQ e</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1B793">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通用电气GE </w:t>
            </w:r>
          </w:p>
        </w:tc>
      </w:tr>
      <w:tr w14:paraId="5410EB98">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01F03E94">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88304">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9DFB0">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超声诊断仪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749DD">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VOLUSON E10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5729B4">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通用电气GE </w:t>
            </w:r>
          </w:p>
        </w:tc>
      </w:tr>
      <w:tr w14:paraId="0DDFFB33">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429C787B">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8F53FD">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27E09">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超声诊断仪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FCCB0A">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EPIQ7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AB610">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飞利浦</w:t>
            </w:r>
          </w:p>
        </w:tc>
      </w:tr>
      <w:tr w14:paraId="3D42AB9D">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3724B85D">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EF221">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CBCB3">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超声诊断仪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CF07A">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EPIQ7</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8A825">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飞利浦</w:t>
            </w:r>
          </w:p>
        </w:tc>
      </w:tr>
      <w:tr w14:paraId="02D142C5">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5E3FAF2E">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D0FE6">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康复医学科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F167E">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超声诊断系统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D886E">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SONIMAGE HS1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62202">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上海中科</w:t>
            </w:r>
          </w:p>
        </w:tc>
      </w:tr>
      <w:tr w14:paraId="2B154999">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2B7104C5">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E7793">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疼痛科门诊</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BDA95">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便携式彩色多普勒超声系统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6D5FB">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INNOSIGHT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3D92E">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飞利浦</w:t>
            </w:r>
          </w:p>
        </w:tc>
      </w:tr>
      <w:tr w14:paraId="0BC01CA3">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7A008D88">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ED546">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肾内科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781F4">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便携式彩色多普勒超声系统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B710A0">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INNOSIGHT</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0E42E">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飞利浦</w:t>
            </w:r>
          </w:p>
        </w:tc>
      </w:tr>
      <w:tr w14:paraId="668C68B5">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5C79585">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47446E">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CCEBB">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超声诊断仪</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F2DDC">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VINNO70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29D8B9">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飞依诺</w:t>
            </w:r>
          </w:p>
        </w:tc>
      </w:tr>
      <w:tr w14:paraId="3C508DFD">
        <w:tblPrEx>
          <w:tblCellMar>
            <w:top w:w="0" w:type="dxa"/>
            <w:left w:w="108" w:type="dxa"/>
            <w:bottom w:w="0" w:type="dxa"/>
            <w:right w:w="108" w:type="dxa"/>
          </w:tblCellMar>
        </w:tblPrEx>
        <w:trPr>
          <w:trHeight w:val="270" w:hRule="atLeast"/>
        </w:trPr>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1203D">
            <w:pPr>
              <w:spacing w:after="0"/>
              <w:jc w:val="center"/>
              <w:textAlignment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内窥镜类</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C2648">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耳鼻喉科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A9C26">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电子鼻咽喉镜系统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6B19B">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OTV-S190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8FCF49">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奥林巴斯</w:t>
            </w:r>
          </w:p>
        </w:tc>
      </w:tr>
      <w:tr w14:paraId="37AF96A6">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B10E7">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03BAEB">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耳鼻喉科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76621">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OLYMPUS摄像系统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F8C07">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CLV-S190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34624">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奥林巴斯</w:t>
            </w:r>
          </w:p>
        </w:tc>
      </w:tr>
      <w:tr w14:paraId="0C4657FA">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4E75F">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6271B">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耳鼻喉科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585645">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光学硬管镜用摄像系统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25C84">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DJSXJ-IIB</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8EFD9">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湖南大井</w:t>
            </w:r>
          </w:p>
        </w:tc>
      </w:tr>
      <w:tr w14:paraId="1C81A0B2">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0AFAB">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D1806">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内镜中心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D9ED7">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巡航胶囊内窥镜控制系统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9B960">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AKC-1</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DF353E">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安翰光电</w:t>
            </w:r>
          </w:p>
        </w:tc>
      </w:tr>
      <w:tr w14:paraId="074FD929">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26634">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2DBB7D">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手术室</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C99354">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腹腔镜全高清摄像系统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87096">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1288HD</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40CF61">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史赛克</w:t>
            </w:r>
          </w:p>
        </w:tc>
      </w:tr>
      <w:tr w14:paraId="61CCB24D">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901CD">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1449F">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手术室</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239C4">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等离子前列腺电切镜系统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883CA">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VIO300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1C478">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史托斯</w:t>
            </w:r>
          </w:p>
        </w:tc>
      </w:tr>
      <w:tr w14:paraId="2EA554D5">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5005D">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2C56D">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手术室</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55B3D">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内窥镜视频图像处理装置</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B8788">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CV-170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00AA2">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奥林巴斯</w:t>
            </w:r>
          </w:p>
        </w:tc>
      </w:tr>
      <w:tr w14:paraId="31D20FC8">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B541E">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29526">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手术室</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97FF5">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全高清腔镜系统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F7564">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IMAGE1PUREHD</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2D9A7">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史托斯</w:t>
            </w:r>
          </w:p>
        </w:tc>
      </w:tr>
      <w:tr w14:paraId="0FA6858A">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B5575">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FD509">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手术室</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7757F">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全高清腔镜系统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C3D25">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IMAGE1PUREHD</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1E6F8">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史托斯</w:t>
            </w:r>
          </w:p>
        </w:tc>
      </w:tr>
      <w:tr w14:paraId="0A7E8EAD">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F4AE3">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F18A49">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内镜中心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E9D2B">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内窥镜系统（含软镜）</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F66A6">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CV-290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C4C53B">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奥林巴斯</w:t>
            </w:r>
          </w:p>
        </w:tc>
      </w:tr>
      <w:tr w14:paraId="6783BACC">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A1F84">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90838">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内镜中心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F1A06">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内窥镜系统（含软镜）</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87F9E">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VP-7000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D78798">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富士</w:t>
            </w:r>
          </w:p>
        </w:tc>
      </w:tr>
      <w:tr w14:paraId="2BFFC8B1">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06AC3">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15DD4">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内镜中心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EDBFD">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内窥镜系统（含软镜）</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957AC">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CV-290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25B82B">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奥林巴斯</w:t>
            </w:r>
          </w:p>
        </w:tc>
      </w:tr>
      <w:tr w14:paraId="7C6DCA3F">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6AF88">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BF6BE4">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内镜中心</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489E8">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内窥镜系统（含软镜）</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3A9BC">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CV-290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1C73A">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奥林巴斯</w:t>
            </w:r>
          </w:p>
        </w:tc>
      </w:tr>
      <w:tr w14:paraId="47BFD77F">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27B16">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FB1BF">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呼吸科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16F795">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内窥镜系统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BB47A">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CV-290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0FFEF">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奥林巴斯</w:t>
            </w:r>
          </w:p>
        </w:tc>
      </w:tr>
      <w:tr w14:paraId="01D8AE69">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BA0BD">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19C40">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手术室</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B8382">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内窥镜摄像系统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3338B">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TC200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C39E7">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STORZ</w:t>
            </w:r>
          </w:p>
        </w:tc>
      </w:tr>
      <w:tr w14:paraId="3988EF65">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871B2">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C6956">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手术室</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CCE4F">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内窥镜摄像系统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F7620">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TC200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8DF11">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STORZ</w:t>
            </w:r>
          </w:p>
        </w:tc>
      </w:tr>
      <w:tr w14:paraId="2FA8AFA1">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73210">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8C028">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手术室</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E2149">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内窥镜摄像系统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A76CD0">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72201919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90DFA">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施乐辉</w:t>
            </w:r>
          </w:p>
        </w:tc>
      </w:tr>
      <w:tr w14:paraId="3A398D74">
        <w:tblPrEx>
          <w:tblCellMar>
            <w:top w:w="0" w:type="dxa"/>
            <w:left w:w="108" w:type="dxa"/>
            <w:bottom w:w="0" w:type="dxa"/>
            <w:right w:w="108" w:type="dxa"/>
          </w:tblCellMar>
        </w:tblPrEx>
        <w:trPr>
          <w:trHeight w:val="27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E6995">
            <w:pPr>
              <w:spacing w:after="0"/>
              <w:jc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0DB7E0">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妇科门诊</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60267">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腹腔内窥镜系统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0E0D7">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26092AMA</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F97FB">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史托斯</w:t>
            </w:r>
          </w:p>
        </w:tc>
      </w:tr>
      <w:tr w14:paraId="6FEF0BD0">
        <w:tblPrEx>
          <w:tblCellMar>
            <w:top w:w="0" w:type="dxa"/>
            <w:left w:w="108" w:type="dxa"/>
            <w:bottom w:w="0" w:type="dxa"/>
            <w:right w:w="108" w:type="dxa"/>
          </w:tblCellMar>
        </w:tblPrEx>
        <w:trPr>
          <w:trHeight w:val="27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B996">
            <w:pPr>
              <w:spacing w:after="0"/>
              <w:jc w:val="center"/>
              <w:textAlignment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生命支持类</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5BDD">
            <w:pPr>
              <w:spacing w:after="0"/>
              <w:jc w:val="both"/>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重症医学科</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62A2">
            <w:pPr>
              <w:spacing w:after="0"/>
              <w:jc w:val="both"/>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体外心肺支持辅助设备</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A4BE">
            <w:pPr>
              <w:spacing w:after="0"/>
              <w:jc w:val="both"/>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LM-ECMO-1000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5842">
            <w:pPr>
              <w:spacing w:after="0"/>
              <w:jc w:val="both"/>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汉诺</w:t>
            </w:r>
          </w:p>
        </w:tc>
      </w:tr>
      <w:tr w14:paraId="7DCE9526">
        <w:tblPrEx>
          <w:tblCellMar>
            <w:top w:w="0" w:type="dxa"/>
            <w:left w:w="108" w:type="dxa"/>
            <w:bottom w:w="0" w:type="dxa"/>
            <w:right w:w="108" w:type="dxa"/>
          </w:tblCellMar>
        </w:tblPrEx>
        <w:trPr>
          <w:trHeight w:val="279" w:hRule="atLeast"/>
        </w:trPr>
        <w:tc>
          <w:tcPr>
            <w:tcW w:w="1089" w:type="dxa"/>
            <w:vMerge w:val="restart"/>
            <w:tcBorders>
              <w:top w:val="single" w:color="auto" w:sz="4" w:space="0"/>
              <w:left w:val="single" w:color="auto" w:sz="4" w:space="0"/>
              <w:right w:val="single" w:color="000000" w:sz="4" w:space="0"/>
            </w:tcBorders>
            <w:shd w:val="clear" w:color="auto" w:fill="auto"/>
            <w:noWrap/>
            <w:vAlign w:val="center"/>
          </w:tcPr>
          <w:p w14:paraId="17121604">
            <w:pPr>
              <w:spacing w:after="0"/>
              <w:jc w:val="center"/>
              <w:textAlignment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药房智能化设备类</w:t>
            </w:r>
          </w:p>
        </w:tc>
        <w:tc>
          <w:tcPr>
            <w:tcW w:w="131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1469862">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门诊药房</w:t>
            </w:r>
          </w:p>
        </w:tc>
        <w:tc>
          <w:tcPr>
            <w:tcW w:w="306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CD8A6E8">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快速发药系统</w:t>
            </w:r>
          </w:p>
        </w:tc>
        <w:tc>
          <w:tcPr>
            <w:tcW w:w="187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EB0AAAC">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IRON1200</w:t>
            </w:r>
          </w:p>
        </w:tc>
        <w:tc>
          <w:tcPr>
            <w:tcW w:w="1380"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36AF9F71">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2EE8ED55">
        <w:tblPrEx>
          <w:tblCellMar>
            <w:top w:w="0" w:type="dxa"/>
            <w:left w:w="108" w:type="dxa"/>
            <w:bottom w:w="0" w:type="dxa"/>
            <w:right w:w="108" w:type="dxa"/>
          </w:tblCellMar>
        </w:tblPrEx>
        <w:trPr>
          <w:trHeight w:val="23" w:hRule="atLeast"/>
        </w:trPr>
        <w:tc>
          <w:tcPr>
            <w:tcW w:w="1089" w:type="dxa"/>
            <w:vMerge w:val="continue"/>
            <w:tcBorders>
              <w:left w:val="single" w:color="auto" w:sz="4" w:space="0"/>
              <w:right w:val="single" w:color="000000" w:sz="4" w:space="0"/>
            </w:tcBorders>
            <w:shd w:val="clear" w:color="auto" w:fill="auto"/>
            <w:noWrap/>
            <w:vAlign w:val="center"/>
          </w:tcPr>
          <w:p w14:paraId="5604FF7C">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A4AA">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门诊药房</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3290">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直发传输系统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C6D5">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IRON-ZF</w:t>
            </w:r>
          </w:p>
        </w:tc>
        <w:tc>
          <w:tcPr>
            <w:tcW w:w="138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98A0190">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2B0E7471">
        <w:tblPrEx>
          <w:tblCellMar>
            <w:top w:w="0" w:type="dxa"/>
            <w:left w:w="108" w:type="dxa"/>
            <w:bottom w:w="0" w:type="dxa"/>
            <w:right w:w="108" w:type="dxa"/>
          </w:tblCellMar>
        </w:tblPrEx>
        <w:trPr>
          <w:trHeight w:val="23" w:hRule="atLeast"/>
        </w:trPr>
        <w:tc>
          <w:tcPr>
            <w:tcW w:w="1089" w:type="dxa"/>
            <w:vMerge w:val="continue"/>
            <w:tcBorders>
              <w:left w:val="single" w:color="auto" w:sz="4" w:space="0"/>
              <w:right w:val="single" w:color="000000" w:sz="4" w:space="0"/>
            </w:tcBorders>
            <w:shd w:val="clear" w:color="auto" w:fill="auto"/>
            <w:noWrap/>
            <w:vAlign w:val="center"/>
          </w:tcPr>
          <w:p w14:paraId="78F50851">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56C1E75">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门诊药房</w:t>
            </w:r>
          </w:p>
        </w:tc>
        <w:tc>
          <w:tcPr>
            <w:tcW w:w="306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A661B01">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智能配发药系统</w:t>
            </w:r>
          </w:p>
        </w:tc>
        <w:tc>
          <w:tcPr>
            <w:tcW w:w="187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037AF07">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IRON-108</w:t>
            </w:r>
          </w:p>
        </w:tc>
        <w:tc>
          <w:tcPr>
            <w:tcW w:w="1380"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4356F423">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04BA4ED2">
        <w:tblPrEx>
          <w:tblCellMar>
            <w:top w:w="0" w:type="dxa"/>
            <w:left w:w="108" w:type="dxa"/>
            <w:bottom w:w="0" w:type="dxa"/>
            <w:right w:w="108" w:type="dxa"/>
          </w:tblCellMar>
        </w:tblPrEx>
        <w:trPr>
          <w:trHeight w:val="23" w:hRule="atLeast"/>
        </w:trPr>
        <w:tc>
          <w:tcPr>
            <w:tcW w:w="1089" w:type="dxa"/>
            <w:vMerge w:val="continue"/>
            <w:tcBorders>
              <w:left w:val="single" w:color="auto" w:sz="4" w:space="0"/>
              <w:right w:val="single" w:color="000000" w:sz="4" w:space="0"/>
            </w:tcBorders>
          </w:tcPr>
          <w:p w14:paraId="672B55E0">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3317E137">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门诊药房</w:t>
            </w:r>
          </w:p>
        </w:tc>
        <w:tc>
          <w:tcPr>
            <w:tcW w:w="3060" w:type="dxa"/>
            <w:tcBorders>
              <w:top w:val="single" w:color="auto" w:sz="4" w:space="0"/>
              <w:left w:val="single" w:color="auto" w:sz="4" w:space="0"/>
              <w:bottom w:val="single" w:color="auto" w:sz="4" w:space="0"/>
              <w:right w:val="single" w:color="auto" w:sz="4" w:space="0"/>
            </w:tcBorders>
            <w:vAlign w:val="center"/>
          </w:tcPr>
          <w:p w14:paraId="4CB89EF4">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麻精药品管理系统</w:t>
            </w:r>
          </w:p>
        </w:tc>
        <w:tc>
          <w:tcPr>
            <w:tcW w:w="1875" w:type="dxa"/>
            <w:tcBorders>
              <w:top w:val="single" w:color="auto" w:sz="4" w:space="0"/>
              <w:left w:val="single" w:color="auto" w:sz="4" w:space="0"/>
              <w:bottom w:val="single" w:color="auto" w:sz="4" w:space="0"/>
              <w:right w:val="single" w:color="auto" w:sz="4" w:space="0"/>
            </w:tcBorders>
            <w:vAlign w:val="center"/>
          </w:tcPr>
          <w:p w14:paraId="1F063C10">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IRON-MJ07</w:t>
            </w:r>
          </w:p>
        </w:tc>
        <w:tc>
          <w:tcPr>
            <w:tcW w:w="1380" w:type="dxa"/>
            <w:tcBorders>
              <w:top w:val="single" w:color="auto" w:sz="4" w:space="0"/>
              <w:left w:val="single" w:color="auto" w:sz="4" w:space="0"/>
              <w:bottom w:val="single" w:color="auto" w:sz="4" w:space="0"/>
              <w:right w:val="single" w:color="auto" w:sz="4" w:space="0"/>
            </w:tcBorders>
            <w:vAlign w:val="center"/>
          </w:tcPr>
          <w:p w14:paraId="40123BCC">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48378738">
        <w:tblPrEx>
          <w:tblCellMar>
            <w:top w:w="0" w:type="dxa"/>
            <w:left w:w="108" w:type="dxa"/>
            <w:bottom w:w="0" w:type="dxa"/>
            <w:right w:w="108" w:type="dxa"/>
          </w:tblCellMar>
        </w:tblPrEx>
        <w:trPr>
          <w:trHeight w:val="23" w:hRule="atLeast"/>
        </w:trPr>
        <w:tc>
          <w:tcPr>
            <w:tcW w:w="1089" w:type="dxa"/>
            <w:vMerge w:val="continue"/>
            <w:tcBorders>
              <w:left w:val="single" w:color="auto" w:sz="4" w:space="0"/>
              <w:right w:val="single" w:color="000000" w:sz="4" w:space="0"/>
            </w:tcBorders>
          </w:tcPr>
          <w:p w14:paraId="483DFD75">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61921A57">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门诊药房</w:t>
            </w:r>
          </w:p>
        </w:tc>
        <w:tc>
          <w:tcPr>
            <w:tcW w:w="3060" w:type="dxa"/>
            <w:tcBorders>
              <w:top w:val="single" w:color="auto" w:sz="4" w:space="0"/>
              <w:left w:val="single" w:color="auto" w:sz="4" w:space="0"/>
              <w:bottom w:val="single" w:color="auto" w:sz="4" w:space="0"/>
              <w:right w:val="single" w:color="auto" w:sz="4" w:space="0"/>
            </w:tcBorders>
            <w:vAlign w:val="center"/>
          </w:tcPr>
          <w:p w14:paraId="022D4CDE">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智能药架</w:t>
            </w:r>
          </w:p>
        </w:tc>
        <w:tc>
          <w:tcPr>
            <w:tcW w:w="1875" w:type="dxa"/>
            <w:tcBorders>
              <w:top w:val="single" w:color="auto" w:sz="4" w:space="0"/>
              <w:left w:val="single" w:color="auto" w:sz="4" w:space="0"/>
              <w:bottom w:val="single" w:color="auto" w:sz="4" w:space="0"/>
              <w:right w:val="single" w:color="auto" w:sz="4" w:space="0"/>
            </w:tcBorders>
            <w:vAlign w:val="center"/>
          </w:tcPr>
          <w:p w14:paraId="2ECBE446">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IRON-SmartRack-20S</w:t>
            </w:r>
          </w:p>
        </w:tc>
        <w:tc>
          <w:tcPr>
            <w:tcW w:w="1380" w:type="dxa"/>
            <w:tcBorders>
              <w:top w:val="single" w:color="auto" w:sz="4" w:space="0"/>
              <w:left w:val="single" w:color="auto" w:sz="4" w:space="0"/>
              <w:bottom w:val="single" w:color="auto" w:sz="4" w:space="0"/>
              <w:right w:val="single" w:color="auto" w:sz="4" w:space="0"/>
            </w:tcBorders>
            <w:vAlign w:val="center"/>
          </w:tcPr>
          <w:p w14:paraId="4F6A1545">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55613C2A">
        <w:tblPrEx>
          <w:tblCellMar>
            <w:top w:w="0" w:type="dxa"/>
            <w:left w:w="108" w:type="dxa"/>
            <w:bottom w:w="0" w:type="dxa"/>
            <w:right w:w="108" w:type="dxa"/>
          </w:tblCellMar>
        </w:tblPrEx>
        <w:trPr>
          <w:trHeight w:val="23" w:hRule="atLeast"/>
        </w:trPr>
        <w:tc>
          <w:tcPr>
            <w:tcW w:w="1089" w:type="dxa"/>
            <w:vMerge w:val="continue"/>
            <w:tcBorders>
              <w:left w:val="single" w:color="auto" w:sz="4" w:space="0"/>
              <w:right w:val="single" w:color="000000" w:sz="4" w:space="0"/>
            </w:tcBorders>
          </w:tcPr>
          <w:p w14:paraId="290FBB44">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69639C84">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门诊药房</w:t>
            </w:r>
          </w:p>
        </w:tc>
        <w:tc>
          <w:tcPr>
            <w:tcW w:w="3060" w:type="dxa"/>
            <w:tcBorders>
              <w:top w:val="single" w:color="auto" w:sz="4" w:space="0"/>
              <w:left w:val="single" w:color="auto" w:sz="4" w:space="0"/>
              <w:bottom w:val="single" w:color="auto" w:sz="4" w:space="0"/>
              <w:right w:val="single" w:color="auto" w:sz="4" w:space="0"/>
            </w:tcBorders>
            <w:vAlign w:val="center"/>
          </w:tcPr>
          <w:p w14:paraId="778A9695">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叫号机</w:t>
            </w:r>
          </w:p>
        </w:tc>
        <w:tc>
          <w:tcPr>
            <w:tcW w:w="1875" w:type="dxa"/>
            <w:tcBorders>
              <w:top w:val="single" w:color="auto" w:sz="4" w:space="0"/>
              <w:left w:val="single" w:color="auto" w:sz="4" w:space="0"/>
              <w:bottom w:val="single" w:color="auto" w:sz="4" w:space="0"/>
              <w:right w:val="single" w:color="auto" w:sz="4" w:space="0"/>
            </w:tcBorders>
            <w:vAlign w:val="center"/>
          </w:tcPr>
          <w:p w14:paraId="5BE4A58B">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IRON-Autoqueue</w:t>
            </w:r>
          </w:p>
        </w:tc>
        <w:tc>
          <w:tcPr>
            <w:tcW w:w="1380" w:type="dxa"/>
            <w:tcBorders>
              <w:top w:val="single" w:color="auto" w:sz="4" w:space="0"/>
              <w:left w:val="single" w:color="auto" w:sz="4" w:space="0"/>
              <w:bottom w:val="single" w:color="auto" w:sz="4" w:space="0"/>
              <w:right w:val="single" w:color="auto" w:sz="4" w:space="0"/>
            </w:tcBorders>
            <w:vAlign w:val="center"/>
          </w:tcPr>
          <w:p w14:paraId="67E7EEF5">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3DD7644C">
        <w:tblPrEx>
          <w:tblCellMar>
            <w:top w:w="0" w:type="dxa"/>
            <w:left w:w="108" w:type="dxa"/>
            <w:bottom w:w="0" w:type="dxa"/>
            <w:right w:w="108" w:type="dxa"/>
          </w:tblCellMar>
        </w:tblPrEx>
        <w:trPr>
          <w:trHeight w:val="23" w:hRule="atLeast"/>
        </w:trPr>
        <w:tc>
          <w:tcPr>
            <w:tcW w:w="1089" w:type="dxa"/>
            <w:vMerge w:val="continue"/>
            <w:tcBorders>
              <w:left w:val="single" w:color="auto" w:sz="4" w:space="0"/>
              <w:right w:val="single" w:color="000000" w:sz="4" w:space="0"/>
            </w:tcBorders>
          </w:tcPr>
          <w:p w14:paraId="1CE122B9">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3984F577">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门诊药房</w:t>
            </w:r>
          </w:p>
        </w:tc>
        <w:tc>
          <w:tcPr>
            <w:tcW w:w="3060" w:type="dxa"/>
            <w:tcBorders>
              <w:top w:val="single" w:color="auto" w:sz="4" w:space="0"/>
              <w:left w:val="single" w:color="auto" w:sz="4" w:space="0"/>
              <w:bottom w:val="single" w:color="auto" w:sz="4" w:space="0"/>
              <w:right w:val="single" w:color="auto" w:sz="4" w:space="0"/>
            </w:tcBorders>
            <w:vAlign w:val="center"/>
          </w:tcPr>
          <w:p w14:paraId="7E5D3131">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高速发药机</w:t>
            </w:r>
          </w:p>
        </w:tc>
        <w:tc>
          <w:tcPr>
            <w:tcW w:w="1875" w:type="dxa"/>
            <w:tcBorders>
              <w:top w:val="single" w:color="auto" w:sz="4" w:space="0"/>
              <w:left w:val="single" w:color="auto" w:sz="4" w:space="0"/>
              <w:bottom w:val="single" w:color="auto" w:sz="4" w:space="0"/>
              <w:right w:val="single" w:color="auto" w:sz="4" w:space="0"/>
            </w:tcBorders>
            <w:vAlign w:val="center"/>
          </w:tcPr>
          <w:p w14:paraId="067751D2">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IRON-GF46</w:t>
            </w:r>
          </w:p>
        </w:tc>
        <w:tc>
          <w:tcPr>
            <w:tcW w:w="1380" w:type="dxa"/>
            <w:tcBorders>
              <w:top w:val="single" w:color="auto" w:sz="4" w:space="0"/>
              <w:left w:val="single" w:color="auto" w:sz="4" w:space="0"/>
              <w:bottom w:val="single" w:color="auto" w:sz="4" w:space="0"/>
              <w:right w:val="single" w:color="auto" w:sz="4" w:space="0"/>
            </w:tcBorders>
            <w:vAlign w:val="center"/>
          </w:tcPr>
          <w:p w14:paraId="212FBFDB">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3C371248">
        <w:tblPrEx>
          <w:tblCellMar>
            <w:top w:w="0" w:type="dxa"/>
            <w:left w:w="108" w:type="dxa"/>
            <w:bottom w:w="0" w:type="dxa"/>
            <w:right w:w="108" w:type="dxa"/>
          </w:tblCellMar>
        </w:tblPrEx>
        <w:trPr>
          <w:trHeight w:val="23" w:hRule="atLeast"/>
        </w:trPr>
        <w:tc>
          <w:tcPr>
            <w:tcW w:w="1089" w:type="dxa"/>
            <w:vMerge w:val="continue"/>
            <w:tcBorders>
              <w:left w:val="single" w:color="auto" w:sz="4" w:space="0"/>
              <w:right w:val="single" w:color="000000" w:sz="4" w:space="0"/>
            </w:tcBorders>
          </w:tcPr>
          <w:p w14:paraId="58210FF4">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3D825DDE">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门诊药房</w:t>
            </w:r>
          </w:p>
        </w:tc>
        <w:tc>
          <w:tcPr>
            <w:tcW w:w="3060" w:type="dxa"/>
            <w:tcBorders>
              <w:top w:val="single" w:color="auto" w:sz="4" w:space="0"/>
              <w:left w:val="single" w:color="auto" w:sz="4" w:space="0"/>
              <w:bottom w:val="single" w:color="auto" w:sz="4" w:space="0"/>
              <w:right w:val="single" w:color="auto" w:sz="4" w:space="0"/>
            </w:tcBorders>
            <w:vAlign w:val="center"/>
          </w:tcPr>
          <w:p w14:paraId="4FC9370F">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整处方传输系统</w:t>
            </w:r>
          </w:p>
        </w:tc>
        <w:tc>
          <w:tcPr>
            <w:tcW w:w="1875" w:type="dxa"/>
            <w:tcBorders>
              <w:top w:val="single" w:color="auto" w:sz="4" w:space="0"/>
              <w:left w:val="single" w:color="auto" w:sz="4" w:space="0"/>
              <w:bottom w:val="single" w:color="auto" w:sz="4" w:space="0"/>
              <w:right w:val="single" w:color="auto" w:sz="4" w:space="0"/>
            </w:tcBorders>
            <w:vAlign w:val="center"/>
          </w:tcPr>
          <w:p w14:paraId="7707B3DD">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IRON-ZCF</w:t>
            </w:r>
          </w:p>
        </w:tc>
        <w:tc>
          <w:tcPr>
            <w:tcW w:w="1380" w:type="dxa"/>
            <w:tcBorders>
              <w:top w:val="single" w:color="auto" w:sz="4" w:space="0"/>
              <w:left w:val="single" w:color="auto" w:sz="4" w:space="0"/>
              <w:bottom w:val="single" w:color="auto" w:sz="4" w:space="0"/>
              <w:right w:val="single" w:color="auto" w:sz="4" w:space="0"/>
            </w:tcBorders>
            <w:vAlign w:val="center"/>
          </w:tcPr>
          <w:p w14:paraId="63774E72">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49DEA420">
        <w:tblPrEx>
          <w:tblCellMar>
            <w:top w:w="0" w:type="dxa"/>
            <w:left w:w="108" w:type="dxa"/>
            <w:bottom w:w="0" w:type="dxa"/>
            <w:right w:w="108" w:type="dxa"/>
          </w:tblCellMar>
        </w:tblPrEx>
        <w:trPr>
          <w:trHeight w:val="23" w:hRule="atLeast"/>
        </w:trPr>
        <w:tc>
          <w:tcPr>
            <w:tcW w:w="1089" w:type="dxa"/>
            <w:vMerge w:val="continue"/>
            <w:tcBorders>
              <w:left w:val="single" w:color="auto" w:sz="4" w:space="0"/>
              <w:right w:val="single" w:color="000000" w:sz="4" w:space="0"/>
            </w:tcBorders>
          </w:tcPr>
          <w:p w14:paraId="456C1B8A">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7D7BA9D1">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门诊药房</w:t>
            </w:r>
          </w:p>
        </w:tc>
        <w:tc>
          <w:tcPr>
            <w:tcW w:w="3060" w:type="dxa"/>
            <w:tcBorders>
              <w:top w:val="single" w:color="auto" w:sz="4" w:space="0"/>
              <w:left w:val="single" w:color="auto" w:sz="4" w:space="0"/>
              <w:bottom w:val="single" w:color="auto" w:sz="4" w:space="0"/>
              <w:right w:val="single" w:color="auto" w:sz="4" w:space="0"/>
            </w:tcBorders>
            <w:vAlign w:val="center"/>
          </w:tcPr>
          <w:p w14:paraId="2677EA7C">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智能发药系统</w:t>
            </w:r>
          </w:p>
        </w:tc>
        <w:tc>
          <w:tcPr>
            <w:tcW w:w="1875" w:type="dxa"/>
            <w:tcBorders>
              <w:top w:val="single" w:color="auto" w:sz="4" w:space="0"/>
              <w:left w:val="single" w:color="auto" w:sz="4" w:space="0"/>
              <w:bottom w:val="single" w:color="auto" w:sz="4" w:space="0"/>
              <w:right w:val="single" w:color="auto" w:sz="4" w:space="0"/>
            </w:tcBorders>
            <w:vAlign w:val="center"/>
          </w:tcPr>
          <w:p w14:paraId="1E9E625F">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IRON-D</w:t>
            </w:r>
          </w:p>
        </w:tc>
        <w:tc>
          <w:tcPr>
            <w:tcW w:w="1380" w:type="dxa"/>
            <w:tcBorders>
              <w:top w:val="single" w:color="auto" w:sz="4" w:space="0"/>
              <w:left w:val="single" w:color="auto" w:sz="4" w:space="0"/>
              <w:bottom w:val="single" w:color="auto" w:sz="4" w:space="0"/>
              <w:right w:val="single" w:color="auto" w:sz="4" w:space="0"/>
            </w:tcBorders>
            <w:vAlign w:val="center"/>
          </w:tcPr>
          <w:p w14:paraId="1B45FFCF">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280FB1B4">
        <w:tblPrEx>
          <w:tblCellMar>
            <w:top w:w="0" w:type="dxa"/>
            <w:left w:w="108" w:type="dxa"/>
            <w:bottom w:w="0" w:type="dxa"/>
            <w:right w:w="108" w:type="dxa"/>
          </w:tblCellMar>
        </w:tblPrEx>
        <w:trPr>
          <w:trHeight w:val="23" w:hRule="atLeast"/>
        </w:trPr>
        <w:tc>
          <w:tcPr>
            <w:tcW w:w="1089" w:type="dxa"/>
            <w:vMerge w:val="continue"/>
            <w:tcBorders>
              <w:left w:val="single" w:color="auto" w:sz="4" w:space="0"/>
              <w:right w:val="single" w:color="000000" w:sz="4" w:space="0"/>
            </w:tcBorders>
          </w:tcPr>
          <w:p w14:paraId="77DF3669">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6EF3D832">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门诊药房</w:t>
            </w:r>
          </w:p>
        </w:tc>
        <w:tc>
          <w:tcPr>
            <w:tcW w:w="3060" w:type="dxa"/>
            <w:tcBorders>
              <w:top w:val="single" w:color="auto" w:sz="4" w:space="0"/>
              <w:left w:val="single" w:color="auto" w:sz="4" w:space="0"/>
              <w:bottom w:val="single" w:color="auto" w:sz="4" w:space="0"/>
              <w:right w:val="single" w:color="auto" w:sz="4" w:space="0"/>
            </w:tcBorders>
            <w:vAlign w:val="center"/>
          </w:tcPr>
          <w:p w14:paraId="6C32EF69">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发筐机</w:t>
            </w:r>
          </w:p>
        </w:tc>
        <w:tc>
          <w:tcPr>
            <w:tcW w:w="1875" w:type="dxa"/>
            <w:tcBorders>
              <w:top w:val="single" w:color="auto" w:sz="4" w:space="0"/>
              <w:left w:val="single" w:color="auto" w:sz="4" w:space="0"/>
              <w:bottom w:val="single" w:color="auto" w:sz="4" w:space="0"/>
              <w:right w:val="single" w:color="auto" w:sz="4" w:space="0"/>
            </w:tcBorders>
            <w:vAlign w:val="center"/>
          </w:tcPr>
          <w:p w14:paraId="77F63830">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IRON-F</w:t>
            </w:r>
          </w:p>
        </w:tc>
        <w:tc>
          <w:tcPr>
            <w:tcW w:w="1380" w:type="dxa"/>
            <w:tcBorders>
              <w:top w:val="single" w:color="auto" w:sz="4" w:space="0"/>
              <w:left w:val="single" w:color="auto" w:sz="4" w:space="0"/>
              <w:bottom w:val="single" w:color="auto" w:sz="4" w:space="0"/>
              <w:right w:val="single" w:color="auto" w:sz="4" w:space="0"/>
            </w:tcBorders>
            <w:vAlign w:val="center"/>
          </w:tcPr>
          <w:p w14:paraId="7E548A85">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51365ED3">
        <w:tblPrEx>
          <w:tblCellMar>
            <w:top w:w="0" w:type="dxa"/>
            <w:left w:w="108" w:type="dxa"/>
            <w:bottom w:w="0" w:type="dxa"/>
            <w:right w:w="108" w:type="dxa"/>
          </w:tblCellMar>
        </w:tblPrEx>
        <w:trPr>
          <w:trHeight w:val="23" w:hRule="atLeast"/>
        </w:trPr>
        <w:tc>
          <w:tcPr>
            <w:tcW w:w="1089" w:type="dxa"/>
            <w:vMerge w:val="continue"/>
            <w:tcBorders>
              <w:left w:val="single" w:color="auto" w:sz="4" w:space="0"/>
              <w:right w:val="single" w:color="000000" w:sz="4" w:space="0"/>
            </w:tcBorders>
          </w:tcPr>
          <w:p w14:paraId="43B7B935">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7EE0DEAB">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门诊药房</w:t>
            </w:r>
          </w:p>
        </w:tc>
        <w:tc>
          <w:tcPr>
            <w:tcW w:w="3060" w:type="dxa"/>
            <w:tcBorders>
              <w:top w:val="single" w:color="auto" w:sz="4" w:space="0"/>
              <w:left w:val="single" w:color="auto" w:sz="4" w:space="0"/>
              <w:bottom w:val="single" w:color="auto" w:sz="4" w:space="0"/>
              <w:right w:val="single" w:color="auto" w:sz="4" w:space="0"/>
            </w:tcBorders>
            <w:vAlign w:val="center"/>
          </w:tcPr>
          <w:p w14:paraId="6D7E8BA2">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结构化医嘱打印系统</w:t>
            </w:r>
          </w:p>
        </w:tc>
        <w:tc>
          <w:tcPr>
            <w:tcW w:w="1875" w:type="dxa"/>
            <w:tcBorders>
              <w:top w:val="single" w:color="auto" w:sz="4" w:space="0"/>
              <w:left w:val="single" w:color="auto" w:sz="4" w:space="0"/>
              <w:bottom w:val="single" w:color="auto" w:sz="4" w:space="0"/>
              <w:right w:val="single" w:color="auto" w:sz="4" w:space="0"/>
            </w:tcBorders>
            <w:vAlign w:val="center"/>
          </w:tcPr>
          <w:p w14:paraId="53957016">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SmartPrint V1.0</w:t>
            </w:r>
          </w:p>
        </w:tc>
        <w:tc>
          <w:tcPr>
            <w:tcW w:w="1380" w:type="dxa"/>
            <w:tcBorders>
              <w:top w:val="single" w:color="auto" w:sz="4" w:space="0"/>
              <w:left w:val="single" w:color="auto" w:sz="4" w:space="0"/>
              <w:bottom w:val="single" w:color="auto" w:sz="4" w:space="0"/>
              <w:right w:val="single" w:color="auto" w:sz="4" w:space="0"/>
            </w:tcBorders>
            <w:vAlign w:val="center"/>
          </w:tcPr>
          <w:p w14:paraId="1CE69DDC">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4D1E31FB">
        <w:tblPrEx>
          <w:tblCellMar>
            <w:top w:w="0" w:type="dxa"/>
            <w:left w:w="108" w:type="dxa"/>
            <w:bottom w:w="0" w:type="dxa"/>
            <w:right w:w="108" w:type="dxa"/>
          </w:tblCellMar>
        </w:tblPrEx>
        <w:trPr>
          <w:trHeight w:val="23" w:hRule="atLeast"/>
        </w:trPr>
        <w:tc>
          <w:tcPr>
            <w:tcW w:w="1089" w:type="dxa"/>
            <w:vMerge w:val="continue"/>
            <w:tcBorders>
              <w:left w:val="single" w:color="auto" w:sz="4" w:space="0"/>
              <w:right w:val="single" w:color="000000" w:sz="4" w:space="0"/>
            </w:tcBorders>
          </w:tcPr>
          <w:p w14:paraId="688DDF8F">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616329B2">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门诊药房</w:t>
            </w:r>
          </w:p>
        </w:tc>
        <w:tc>
          <w:tcPr>
            <w:tcW w:w="3060" w:type="dxa"/>
            <w:tcBorders>
              <w:top w:val="single" w:color="auto" w:sz="4" w:space="0"/>
              <w:left w:val="single" w:color="auto" w:sz="4" w:space="0"/>
              <w:bottom w:val="single" w:color="auto" w:sz="4" w:space="0"/>
              <w:right w:val="single" w:color="auto" w:sz="4" w:space="0"/>
            </w:tcBorders>
            <w:vAlign w:val="center"/>
          </w:tcPr>
          <w:p w14:paraId="39AC5152">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排队叫号系统</w:t>
            </w:r>
          </w:p>
        </w:tc>
        <w:tc>
          <w:tcPr>
            <w:tcW w:w="1875" w:type="dxa"/>
            <w:tcBorders>
              <w:top w:val="single" w:color="auto" w:sz="4" w:space="0"/>
              <w:left w:val="single" w:color="auto" w:sz="4" w:space="0"/>
              <w:bottom w:val="single" w:color="auto" w:sz="4" w:space="0"/>
              <w:right w:val="single" w:color="auto" w:sz="4" w:space="0"/>
            </w:tcBorders>
            <w:vAlign w:val="center"/>
          </w:tcPr>
          <w:p w14:paraId="328497AC">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Autoqueue V1.0</w:t>
            </w:r>
          </w:p>
        </w:tc>
        <w:tc>
          <w:tcPr>
            <w:tcW w:w="1380" w:type="dxa"/>
            <w:tcBorders>
              <w:top w:val="single" w:color="auto" w:sz="4" w:space="0"/>
              <w:left w:val="single" w:color="auto" w:sz="4" w:space="0"/>
              <w:bottom w:val="single" w:color="auto" w:sz="4" w:space="0"/>
              <w:right w:val="single" w:color="auto" w:sz="4" w:space="0"/>
            </w:tcBorders>
            <w:vAlign w:val="center"/>
          </w:tcPr>
          <w:p w14:paraId="18C296BB">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6AFB9268">
        <w:tblPrEx>
          <w:tblCellMar>
            <w:top w:w="0" w:type="dxa"/>
            <w:left w:w="108" w:type="dxa"/>
            <w:bottom w:w="0" w:type="dxa"/>
            <w:right w:w="108" w:type="dxa"/>
          </w:tblCellMar>
        </w:tblPrEx>
        <w:trPr>
          <w:trHeight w:val="23" w:hRule="atLeast"/>
        </w:trPr>
        <w:tc>
          <w:tcPr>
            <w:tcW w:w="1089" w:type="dxa"/>
            <w:vMerge w:val="continue"/>
            <w:tcBorders>
              <w:left w:val="single" w:color="auto" w:sz="4" w:space="0"/>
              <w:right w:val="single" w:color="000000" w:sz="4" w:space="0"/>
            </w:tcBorders>
          </w:tcPr>
          <w:p w14:paraId="62806E18">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4E865250">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门诊药房</w:t>
            </w:r>
          </w:p>
        </w:tc>
        <w:tc>
          <w:tcPr>
            <w:tcW w:w="3060" w:type="dxa"/>
            <w:tcBorders>
              <w:top w:val="single" w:color="auto" w:sz="4" w:space="0"/>
              <w:left w:val="single" w:color="auto" w:sz="4" w:space="0"/>
              <w:bottom w:val="single" w:color="auto" w:sz="4" w:space="0"/>
              <w:right w:val="single" w:color="auto" w:sz="4" w:space="0"/>
            </w:tcBorders>
            <w:vAlign w:val="center"/>
          </w:tcPr>
          <w:p w14:paraId="1CF58A25">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前台发药支持系统</w:t>
            </w:r>
          </w:p>
        </w:tc>
        <w:tc>
          <w:tcPr>
            <w:tcW w:w="1875" w:type="dxa"/>
            <w:tcBorders>
              <w:top w:val="single" w:color="auto" w:sz="4" w:space="0"/>
              <w:left w:val="single" w:color="auto" w:sz="4" w:space="0"/>
              <w:bottom w:val="single" w:color="auto" w:sz="4" w:space="0"/>
              <w:right w:val="single" w:color="auto" w:sz="4" w:space="0"/>
            </w:tcBorders>
            <w:vAlign w:val="center"/>
          </w:tcPr>
          <w:p w14:paraId="6E967EF7">
            <w:pPr>
              <w:spacing w:after="0"/>
              <w:textAlignment w:val="bottom"/>
              <w:rPr>
                <w:rFonts w:asciiTheme="minorEastAsia" w:hAnsiTheme="minorEastAsia" w:eastAsiaTheme="minorEastAsia" w:cstheme="minorEastAsia"/>
                <w:sz w:val="21"/>
                <w:szCs w:val="21"/>
                <w:lang w:val="zh-CN"/>
              </w:rPr>
            </w:pPr>
          </w:p>
        </w:tc>
        <w:tc>
          <w:tcPr>
            <w:tcW w:w="1380" w:type="dxa"/>
            <w:tcBorders>
              <w:top w:val="single" w:color="auto" w:sz="4" w:space="0"/>
              <w:left w:val="single" w:color="auto" w:sz="4" w:space="0"/>
              <w:bottom w:val="single" w:color="auto" w:sz="4" w:space="0"/>
              <w:right w:val="single" w:color="auto" w:sz="4" w:space="0"/>
            </w:tcBorders>
            <w:vAlign w:val="center"/>
          </w:tcPr>
          <w:p w14:paraId="3BA2E85A">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7F9719AC">
        <w:tblPrEx>
          <w:tblCellMar>
            <w:top w:w="0" w:type="dxa"/>
            <w:left w:w="108" w:type="dxa"/>
            <w:bottom w:w="0" w:type="dxa"/>
            <w:right w:w="108" w:type="dxa"/>
          </w:tblCellMar>
        </w:tblPrEx>
        <w:trPr>
          <w:trHeight w:val="23" w:hRule="atLeast"/>
        </w:trPr>
        <w:tc>
          <w:tcPr>
            <w:tcW w:w="1089" w:type="dxa"/>
            <w:vMerge w:val="continue"/>
            <w:tcBorders>
              <w:left w:val="single" w:color="auto" w:sz="4" w:space="0"/>
              <w:right w:val="single" w:color="000000" w:sz="4" w:space="0"/>
            </w:tcBorders>
          </w:tcPr>
          <w:p w14:paraId="4337A49F">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5F850791">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急诊药房</w:t>
            </w:r>
          </w:p>
        </w:tc>
        <w:tc>
          <w:tcPr>
            <w:tcW w:w="3060" w:type="dxa"/>
            <w:tcBorders>
              <w:top w:val="single" w:color="auto" w:sz="4" w:space="0"/>
              <w:left w:val="single" w:color="auto" w:sz="4" w:space="0"/>
              <w:bottom w:val="single" w:color="auto" w:sz="4" w:space="0"/>
              <w:right w:val="single" w:color="auto" w:sz="4" w:space="0"/>
            </w:tcBorders>
            <w:vAlign w:val="center"/>
          </w:tcPr>
          <w:p w14:paraId="2A641C06">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智能配发药系统</w:t>
            </w:r>
          </w:p>
        </w:tc>
        <w:tc>
          <w:tcPr>
            <w:tcW w:w="1875" w:type="dxa"/>
            <w:tcBorders>
              <w:top w:val="single" w:color="auto" w:sz="4" w:space="0"/>
              <w:left w:val="single" w:color="auto" w:sz="4" w:space="0"/>
              <w:bottom w:val="single" w:color="auto" w:sz="4" w:space="0"/>
              <w:right w:val="single" w:color="auto" w:sz="4" w:space="0"/>
            </w:tcBorders>
            <w:vAlign w:val="center"/>
          </w:tcPr>
          <w:p w14:paraId="4A3D226E">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IRON-108</w:t>
            </w:r>
          </w:p>
        </w:tc>
        <w:tc>
          <w:tcPr>
            <w:tcW w:w="1380" w:type="dxa"/>
            <w:tcBorders>
              <w:top w:val="single" w:color="auto" w:sz="4" w:space="0"/>
              <w:left w:val="single" w:color="auto" w:sz="4" w:space="0"/>
              <w:bottom w:val="single" w:color="auto" w:sz="4" w:space="0"/>
              <w:right w:val="single" w:color="auto" w:sz="4" w:space="0"/>
            </w:tcBorders>
            <w:vAlign w:val="center"/>
          </w:tcPr>
          <w:p w14:paraId="0D371DED">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60F49CAB">
        <w:tblPrEx>
          <w:tblCellMar>
            <w:top w:w="0" w:type="dxa"/>
            <w:left w:w="108" w:type="dxa"/>
            <w:bottom w:w="0" w:type="dxa"/>
            <w:right w:w="108" w:type="dxa"/>
          </w:tblCellMar>
        </w:tblPrEx>
        <w:trPr>
          <w:trHeight w:val="23" w:hRule="atLeast"/>
        </w:trPr>
        <w:tc>
          <w:tcPr>
            <w:tcW w:w="1089" w:type="dxa"/>
            <w:vMerge w:val="continue"/>
            <w:tcBorders>
              <w:left w:val="single" w:color="auto" w:sz="4" w:space="0"/>
              <w:right w:val="single" w:color="000000" w:sz="4" w:space="0"/>
            </w:tcBorders>
          </w:tcPr>
          <w:p w14:paraId="30189553">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7DE83C0A">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急诊药房</w:t>
            </w:r>
          </w:p>
        </w:tc>
        <w:tc>
          <w:tcPr>
            <w:tcW w:w="3060" w:type="dxa"/>
            <w:tcBorders>
              <w:top w:val="single" w:color="auto" w:sz="4" w:space="0"/>
              <w:left w:val="single" w:color="auto" w:sz="4" w:space="0"/>
              <w:bottom w:val="single" w:color="auto" w:sz="4" w:space="0"/>
              <w:right w:val="single" w:color="auto" w:sz="4" w:space="0"/>
            </w:tcBorders>
            <w:vAlign w:val="center"/>
          </w:tcPr>
          <w:p w14:paraId="6E87FEDA">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麻精药品管理系统</w:t>
            </w:r>
          </w:p>
        </w:tc>
        <w:tc>
          <w:tcPr>
            <w:tcW w:w="1875" w:type="dxa"/>
            <w:tcBorders>
              <w:top w:val="single" w:color="auto" w:sz="4" w:space="0"/>
              <w:left w:val="single" w:color="auto" w:sz="4" w:space="0"/>
              <w:bottom w:val="single" w:color="auto" w:sz="4" w:space="0"/>
              <w:right w:val="single" w:color="auto" w:sz="4" w:space="0"/>
            </w:tcBorders>
            <w:vAlign w:val="center"/>
          </w:tcPr>
          <w:p w14:paraId="7C3469B2">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IRON-MJ07</w:t>
            </w:r>
          </w:p>
        </w:tc>
        <w:tc>
          <w:tcPr>
            <w:tcW w:w="1380" w:type="dxa"/>
            <w:tcBorders>
              <w:top w:val="single" w:color="auto" w:sz="4" w:space="0"/>
              <w:left w:val="single" w:color="auto" w:sz="4" w:space="0"/>
              <w:bottom w:val="single" w:color="auto" w:sz="4" w:space="0"/>
              <w:right w:val="single" w:color="auto" w:sz="4" w:space="0"/>
            </w:tcBorders>
            <w:vAlign w:val="center"/>
          </w:tcPr>
          <w:p w14:paraId="2AF6CF7B">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1B12FE46">
        <w:tblPrEx>
          <w:tblCellMar>
            <w:top w:w="0" w:type="dxa"/>
            <w:left w:w="108" w:type="dxa"/>
            <w:bottom w:w="0" w:type="dxa"/>
            <w:right w:w="108" w:type="dxa"/>
          </w:tblCellMar>
        </w:tblPrEx>
        <w:trPr>
          <w:trHeight w:val="23" w:hRule="atLeast"/>
        </w:trPr>
        <w:tc>
          <w:tcPr>
            <w:tcW w:w="1089" w:type="dxa"/>
            <w:vMerge w:val="continue"/>
            <w:tcBorders>
              <w:left w:val="single" w:color="auto" w:sz="4" w:space="0"/>
              <w:right w:val="single" w:color="000000" w:sz="4" w:space="0"/>
            </w:tcBorders>
          </w:tcPr>
          <w:p w14:paraId="407240B4">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4A8072C6">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住院药房</w:t>
            </w:r>
          </w:p>
        </w:tc>
        <w:tc>
          <w:tcPr>
            <w:tcW w:w="3060" w:type="dxa"/>
            <w:tcBorders>
              <w:top w:val="single" w:color="auto" w:sz="4" w:space="0"/>
              <w:left w:val="single" w:color="auto" w:sz="4" w:space="0"/>
              <w:bottom w:val="single" w:color="auto" w:sz="4" w:space="0"/>
              <w:right w:val="single" w:color="auto" w:sz="4" w:space="0"/>
            </w:tcBorders>
            <w:vAlign w:val="center"/>
          </w:tcPr>
          <w:p w14:paraId="2E4FD14D">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全自动分包机</w:t>
            </w:r>
          </w:p>
        </w:tc>
        <w:tc>
          <w:tcPr>
            <w:tcW w:w="1875" w:type="dxa"/>
            <w:tcBorders>
              <w:top w:val="single" w:color="auto" w:sz="4" w:space="0"/>
              <w:left w:val="single" w:color="auto" w:sz="4" w:space="0"/>
              <w:bottom w:val="single" w:color="auto" w:sz="4" w:space="0"/>
              <w:right w:val="single" w:color="auto" w:sz="4" w:space="0"/>
            </w:tcBorders>
            <w:vAlign w:val="center"/>
          </w:tcPr>
          <w:p w14:paraId="2BEE4494">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松下-320G</w:t>
            </w:r>
          </w:p>
        </w:tc>
        <w:tc>
          <w:tcPr>
            <w:tcW w:w="1380" w:type="dxa"/>
            <w:tcBorders>
              <w:top w:val="single" w:color="auto" w:sz="4" w:space="0"/>
              <w:left w:val="single" w:color="auto" w:sz="4" w:space="0"/>
              <w:bottom w:val="single" w:color="auto" w:sz="4" w:space="0"/>
              <w:right w:val="single" w:color="auto" w:sz="4" w:space="0"/>
            </w:tcBorders>
            <w:vAlign w:val="center"/>
          </w:tcPr>
          <w:p w14:paraId="10A8418B">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松下</w:t>
            </w:r>
          </w:p>
        </w:tc>
      </w:tr>
      <w:tr w14:paraId="32DC9E38">
        <w:tblPrEx>
          <w:tblCellMar>
            <w:top w:w="0" w:type="dxa"/>
            <w:left w:w="108" w:type="dxa"/>
            <w:bottom w:w="0" w:type="dxa"/>
            <w:right w:w="108" w:type="dxa"/>
          </w:tblCellMar>
        </w:tblPrEx>
        <w:trPr>
          <w:trHeight w:val="23" w:hRule="atLeast"/>
        </w:trPr>
        <w:tc>
          <w:tcPr>
            <w:tcW w:w="1089" w:type="dxa"/>
            <w:vMerge w:val="continue"/>
            <w:tcBorders>
              <w:left w:val="single" w:color="auto" w:sz="4" w:space="0"/>
              <w:right w:val="single" w:color="000000" w:sz="4" w:space="0"/>
            </w:tcBorders>
          </w:tcPr>
          <w:p w14:paraId="5FD846A3">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34CA3169">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住院药房</w:t>
            </w:r>
          </w:p>
        </w:tc>
        <w:tc>
          <w:tcPr>
            <w:tcW w:w="3060" w:type="dxa"/>
            <w:tcBorders>
              <w:top w:val="single" w:color="auto" w:sz="4" w:space="0"/>
              <w:left w:val="single" w:color="auto" w:sz="4" w:space="0"/>
              <w:bottom w:val="single" w:color="auto" w:sz="4" w:space="0"/>
              <w:right w:val="single" w:color="auto" w:sz="4" w:space="0"/>
            </w:tcBorders>
            <w:vAlign w:val="center"/>
          </w:tcPr>
          <w:p w14:paraId="2FF71BAA">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智能配发药系统</w:t>
            </w:r>
          </w:p>
        </w:tc>
        <w:tc>
          <w:tcPr>
            <w:tcW w:w="1875" w:type="dxa"/>
            <w:tcBorders>
              <w:top w:val="single" w:color="auto" w:sz="4" w:space="0"/>
              <w:left w:val="single" w:color="auto" w:sz="4" w:space="0"/>
              <w:bottom w:val="single" w:color="auto" w:sz="4" w:space="0"/>
              <w:right w:val="single" w:color="auto" w:sz="4" w:space="0"/>
            </w:tcBorders>
            <w:vAlign w:val="center"/>
          </w:tcPr>
          <w:p w14:paraId="3F7D7A8D">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IRON-108</w:t>
            </w:r>
          </w:p>
        </w:tc>
        <w:tc>
          <w:tcPr>
            <w:tcW w:w="1380" w:type="dxa"/>
            <w:tcBorders>
              <w:top w:val="single" w:color="auto" w:sz="4" w:space="0"/>
              <w:left w:val="single" w:color="auto" w:sz="4" w:space="0"/>
              <w:bottom w:val="single" w:color="auto" w:sz="4" w:space="0"/>
              <w:right w:val="single" w:color="auto" w:sz="4" w:space="0"/>
            </w:tcBorders>
            <w:vAlign w:val="center"/>
          </w:tcPr>
          <w:p w14:paraId="74525EA8">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494C13FA">
        <w:tblPrEx>
          <w:tblCellMar>
            <w:top w:w="0" w:type="dxa"/>
            <w:left w:w="108" w:type="dxa"/>
            <w:bottom w:w="0" w:type="dxa"/>
            <w:right w:w="108" w:type="dxa"/>
          </w:tblCellMar>
        </w:tblPrEx>
        <w:trPr>
          <w:trHeight w:val="23" w:hRule="atLeast"/>
        </w:trPr>
        <w:tc>
          <w:tcPr>
            <w:tcW w:w="1089" w:type="dxa"/>
            <w:vMerge w:val="continue"/>
            <w:tcBorders>
              <w:left w:val="single" w:color="auto" w:sz="4" w:space="0"/>
              <w:right w:val="single" w:color="000000" w:sz="4" w:space="0"/>
            </w:tcBorders>
          </w:tcPr>
          <w:p w14:paraId="37034124">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379F2A4E">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住院药房</w:t>
            </w:r>
          </w:p>
        </w:tc>
        <w:tc>
          <w:tcPr>
            <w:tcW w:w="3060" w:type="dxa"/>
            <w:tcBorders>
              <w:top w:val="single" w:color="auto" w:sz="4" w:space="0"/>
              <w:left w:val="single" w:color="auto" w:sz="4" w:space="0"/>
              <w:bottom w:val="single" w:color="auto" w:sz="4" w:space="0"/>
              <w:right w:val="single" w:color="auto" w:sz="4" w:space="0"/>
            </w:tcBorders>
            <w:vAlign w:val="center"/>
          </w:tcPr>
          <w:p w14:paraId="578EDBAC">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麻精药品管理系统</w:t>
            </w:r>
          </w:p>
        </w:tc>
        <w:tc>
          <w:tcPr>
            <w:tcW w:w="1875" w:type="dxa"/>
            <w:tcBorders>
              <w:top w:val="single" w:color="auto" w:sz="4" w:space="0"/>
              <w:left w:val="single" w:color="auto" w:sz="4" w:space="0"/>
              <w:bottom w:val="single" w:color="auto" w:sz="4" w:space="0"/>
              <w:right w:val="single" w:color="auto" w:sz="4" w:space="0"/>
            </w:tcBorders>
            <w:vAlign w:val="center"/>
          </w:tcPr>
          <w:p w14:paraId="0CE7F3D2">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IRON-MJ07</w:t>
            </w:r>
          </w:p>
        </w:tc>
        <w:tc>
          <w:tcPr>
            <w:tcW w:w="1380" w:type="dxa"/>
            <w:tcBorders>
              <w:top w:val="single" w:color="auto" w:sz="4" w:space="0"/>
              <w:left w:val="single" w:color="auto" w:sz="4" w:space="0"/>
              <w:bottom w:val="single" w:color="auto" w:sz="4" w:space="0"/>
              <w:right w:val="single" w:color="auto" w:sz="4" w:space="0"/>
            </w:tcBorders>
            <w:vAlign w:val="center"/>
          </w:tcPr>
          <w:p w14:paraId="578EC158">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28738D24">
        <w:tblPrEx>
          <w:tblCellMar>
            <w:top w:w="0" w:type="dxa"/>
            <w:left w:w="108" w:type="dxa"/>
            <w:bottom w:w="0" w:type="dxa"/>
            <w:right w:w="108" w:type="dxa"/>
          </w:tblCellMar>
        </w:tblPrEx>
        <w:trPr>
          <w:trHeight w:val="23" w:hRule="atLeast"/>
        </w:trPr>
        <w:tc>
          <w:tcPr>
            <w:tcW w:w="1089" w:type="dxa"/>
            <w:vMerge w:val="continue"/>
            <w:tcBorders>
              <w:left w:val="single" w:color="auto" w:sz="4" w:space="0"/>
              <w:right w:val="single" w:color="000000" w:sz="4" w:space="0"/>
            </w:tcBorders>
          </w:tcPr>
          <w:p w14:paraId="0447EE05">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1003C180">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住院药房</w:t>
            </w:r>
          </w:p>
        </w:tc>
        <w:tc>
          <w:tcPr>
            <w:tcW w:w="3060" w:type="dxa"/>
            <w:tcBorders>
              <w:top w:val="single" w:color="auto" w:sz="4" w:space="0"/>
              <w:left w:val="single" w:color="auto" w:sz="4" w:space="0"/>
              <w:bottom w:val="single" w:color="auto" w:sz="4" w:space="0"/>
              <w:right w:val="single" w:color="auto" w:sz="4" w:space="0"/>
            </w:tcBorders>
            <w:vAlign w:val="center"/>
          </w:tcPr>
          <w:p w14:paraId="53A411E2">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智能存取系统</w:t>
            </w:r>
          </w:p>
        </w:tc>
        <w:tc>
          <w:tcPr>
            <w:tcW w:w="1875" w:type="dxa"/>
            <w:tcBorders>
              <w:top w:val="single" w:color="auto" w:sz="4" w:space="0"/>
              <w:left w:val="single" w:color="auto" w:sz="4" w:space="0"/>
              <w:bottom w:val="single" w:color="auto" w:sz="4" w:space="0"/>
              <w:right w:val="single" w:color="auto" w:sz="4" w:space="0"/>
            </w:tcBorders>
            <w:vAlign w:val="center"/>
          </w:tcPr>
          <w:p w14:paraId="7C317759">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IRON-240</w:t>
            </w:r>
          </w:p>
        </w:tc>
        <w:tc>
          <w:tcPr>
            <w:tcW w:w="1380" w:type="dxa"/>
            <w:tcBorders>
              <w:top w:val="single" w:color="auto" w:sz="4" w:space="0"/>
              <w:left w:val="single" w:color="auto" w:sz="4" w:space="0"/>
              <w:bottom w:val="single" w:color="auto" w:sz="4" w:space="0"/>
              <w:right w:val="single" w:color="auto" w:sz="4" w:space="0"/>
            </w:tcBorders>
            <w:vAlign w:val="center"/>
          </w:tcPr>
          <w:p w14:paraId="1A5FCF2C">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1CBB89E4">
        <w:tblPrEx>
          <w:tblCellMar>
            <w:top w:w="0" w:type="dxa"/>
            <w:left w:w="108" w:type="dxa"/>
            <w:bottom w:w="0" w:type="dxa"/>
            <w:right w:w="108" w:type="dxa"/>
          </w:tblCellMar>
        </w:tblPrEx>
        <w:trPr>
          <w:trHeight w:val="23" w:hRule="atLeast"/>
        </w:trPr>
        <w:tc>
          <w:tcPr>
            <w:tcW w:w="1089" w:type="dxa"/>
            <w:vMerge w:val="continue"/>
            <w:tcBorders>
              <w:left w:val="single" w:color="auto" w:sz="4" w:space="0"/>
              <w:right w:val="single" w:color="000000" w:sz="4" w:space="0"/>
            </w:tcBorders>
          </w:tcPr>
          <w:p w14:paraId="3AEDF1DE">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7AF048B8">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麻醉科</w:t>
            </w:r>
          </w:p>
        </w:tc>
        <w:tc>
          <w:tcPr>
            <w:tcW w:w="3060" w:type="dxa"/>
            <w:tcBorders>
              <w:top w:val="single" w:color="auto" w:sz="4" w:space="0"/>
              <w:left w:val="single" w:color="auto" w:sz="4" w:space="0"/>
              <w:bottom w:val="single" w:color="auto" w:sz="4" w:space="0"/>
              <w:right w:val="single" w:color="auto" w:sz="4" w:space="0"/>
            </w:tcBorders>
            <w:vAlign w:val="center"/>
          </w:tcPr>
          <w:p w14:paraId="6BE2C102">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药品套餐主柜</w:t>
            </w:r>
          </w:p>
        </w:tc>
        <w:tc>
          <w:tcPr>
            <w:tcW w:w="1875" w:type="dxa"/>
            <w:tcBorders>
              <w:top w:val="single" w:color="auto" w:sz="4" w:space="0"/>
              <w:left w:val="single" w:color="auto" w:sz="4" w:space="0"/>
              <w:bottom w:val="single" w:color="auto" w:sz="4" w:space="0"/>
              <w:right w:val="single" w:color="auto" w:sz="4" w:space="0"/>
            </w:tcBorders>
            <w:vAlign w:val="center"/>
          </w:tcPr>
          <w:p w14:paraId="1B1C4253">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IRON-MZTC1000</w:t>
            </w:r>
          </w:p>
        </w:tc>
        <w:tc>
          <w:tcPr>
            <w:tcW w:w="1380" w:type="dxa"/>
            <w:tcBorders>
              <w:top w:val="single" w:color="auto" w:sz="4" w:space="0"/>
              <w:left w:val="single" w:color="auto" w:sz="4" w:space="0"/>
              <w:bottom w:val="single" w:color="auto" w:sz="4" w:space="0"/>
              <w:right w:val="single" w:color="auto" w:sz="4" w:space="0"/>
            </w:tcBorders>
            <w:vAlign w:val="center"/>
          </w:tcPr>
          <w:p w14:paraId="1CBF623A">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rPr>
              <w:t>艾隆</w:t>
            </w:r>
          </w:p>
        </w:tc>
      </w:tr>
      <w:tr w14:paraId="40797CCE">
        <w:tblPrEx>
          <w:tblCellMar>
            <w:top w:w="0" w:type="dxa"/>
            <w:left w:w="108" w:type="dxa"/>
            <w:bottom w:w="0" w:type="dxa"/>
            <w:right w:w="108" w:type="dxa"/>
          </w:tblCellMar>
        </w:tblPrEx>
        <w:trPr>
          <w:trHeight w:val="23" w:hRule="atLeast"/>
        </w:trPr>
        <w:tc>
          <w:tcPr>
            <w:tcW w:w="1089" w:type="dxa"/>
            <w:vMerge w:val="continue"/>
            <w:tcBorders>
              <w:left w:val="single" w:color="auto" w:sz="4" w:space="0"/>
              <w:right w:val="single" w:color="000000" w:sz="4" w:space="0"/>
            </w:tcBorders>
          </w:tcPr>
          <w:p w14:paraId="14CF7B83">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08D8C8C5">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麻醉科</w:t>
            </w:r>
          </w:p>
        </w:tc>
        <w:tc>
          <w:tcPr>
            <w:tcW w:w="3060" w:type="dxa"/>
            <w:tcBorders>
              <w:top w:val="single" w:color="auto" w:sz="4" w:space="0"/>
              <w:left w:val="single" w:color="auto" w:sz="4" w:space="0"/>
              <w:bottom w:val="single" w:color="auto" w:sz="4" w:space="0"/>
              <w:right w:val="single" w:color="auto" w:sz="4" w:space="0"/>
            </w:tcBorders>
            <w:vAlign w:val="center"/>
          </w:tcPr>
          <w:p w14:paraId="7508D20A">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药品套餐辅柜</w:t>
            </w:r>
          </w:p>
        </w:tc>
        <w:tc>
          <w:tcPr>
            <w:tcW w:w="1875" w:type="dxa"/>
            <w:tcBorders>
              <w:top w:val="single" w:color="auto" w:sz="4" w:space="0"/>
              <w:left w:val="single" w:color="auto" w:sz="4" w:space="0"/>
              <w:bottom w:val="single" w:color="auto" w:sz="4" w:space="0"/>
              <w:right w:val="single" w:color="auto" w:sz="4" w:space="0"/>
            </w:tcBorders>
            <w:vAlign w:val="center"/>
          </w:tcPr>
          <w:p w14:paraId="222CA66D">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IRON-MZTC100</w:t>
            </w:r>
          </w:p>
        </w:tc>
        <w:tc>
          <w:tcPr>
            <w:tcW w:w="1380" w:type="dxa"/>
            <w:tcBorders>
              <w:top w:val="single" w:color="auto" w:sz="4" w:space="0"/>
              <w:left w:val="single" w:color="auto" w:sz="4" w:space="0"/>
              <w:bottom w:val="single" w:color="auto" w:sz="4" w:space="0"/>
              <w:right w:val="single" w:color="auto" w:sz="4" w:space="0"/>
            </w:tcBorders>
            <w:vAlign w:val="center"/>
          </w:tcPr>
          <w:p w14:paraId="5F473260">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45EE8818">
        <w:tblPrEx>
          <w:tblCellMar>
            <w:top w:w="0" w:type="dxa"/>
            <w:left w:w="108" w:type="dxa"/>
            <w:bottom w:w="0" w:type="dxa"/>
            <w:right w:w="108" w:type="dxa"/>
          </w:tblCellMar>
        </w:tblPrEx>
        <w:trPr>
          <w:trHeight w:val="23" w:hRule="atLeast"/>
        </w:trPr>
        <w:tc>
          <w:tcPr>
            <w:tcW w:w="1089" w:type="dxa"/>
            <w:vMerge w:val="continue"/>
            <w:tcBorders>
              <w:left w:val="single" w:color="auto" w:sz="4" w:space="0"/>
              <w:right w:val="single" w:color="000000" w:sz="4" w:space="0"/>
            </w:tcBorders>
          </w:tcPr>
          <w:p w14:paraId="5669EDA6">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5796FED9">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麻醉科</w:t>
            </w:r>
          </w:p>
        </w:tc>
        <w:tc>
          <w:tcPr>
            <w:tcW w:w="3060" w:type="dxa"/>
            <w:tcBorders>
              <w:top w:val="single" w:color="auto" w:sz="4" w:space="0"/>
              <w:left w:val="single" w:color="auto" w:sz="4" w:space="0"/>
              <w:bottom w:val="single" w:color="auto" w:sz="4" w:space="0"/>
              <w:right w:val="single" w:color="auto" w:sz="4" w:space="0"/>
            </w:tcBorders>
            <w:vAlign w:val="center"/>
          </w:tcPr>
          <w:p w14:paraId="5A6EF9CD">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麻醉药品管理柜主柜</w:t>
            </w:r>
          </w:p>
        </w:tc>
        <w:tc>
          <w:tcPr>
            <w:tcW w:w="1875" w:type="dxa"/>
            <w:tcBorders>
              <w:top w:val="single" w:color="auto" w:sz="4" w:space="0"/>
              <w:left w:val="single" w:color="auto" w:sz="4" w:space="0"/>
              <w:bottom w:val="single" w:color="auto" w:sz="4" w:space="0"/>
              <w:right w:val="single" w:color="auto" w:sz="4" w:space="0"/>
            </w:tcBorders>
            <w:vAlign w:val="center"/>
          </w:tcPr>
          <w:p w14:paraId="63CB238B">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IRON-MZG1000</w:t>
            </w:r>
          </w:p>
        </w:tc>
        <w:tc>
          <w:tcPr>
            <w:tcW w:w="1380" w:type="dxa"/>
            <w:tcBorders>
              <w:top w:val="single" w:color="auto" w:sz="4" w:space="0"/>
              <w:left w:val="single" w:color="auto" w:sz="4" w:space="0"/>
              <w:bottom w:val="single" w:color="auto" w:sz="4" w:space="0"/>
              <w:right w:val="single" w:color="auto" w:sz="4" w:space="0"/>
            </w:tcBorders>
            <w:vAlign w:val="center"/>
          </w:tcPr>
          <w:p w14:paraId="0D0BACE4">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797E69C9">
        <w:tblPrEx>
          <w:tblCellMar>
            <w:top w:w="0" w:type="dxa"/>
            <w:left w:w="108" w:type="dxa"/>
            <w:bottom w:w="0" w:type="dxa"/>
            <w:right w:w="108" w:type="dxa"/>
          </w:tblCellMar>
        </w:tblPrEx>
        <w:trPr>
          <w:trHeight w:val="23" w:hRule="atLeast"/>
        </w:trPr>
        <w:tc>
          <w:tcPr>
            <w:tcW w:w="1089" w:type="dxa"/>
            <w:vMerge w:val="continue"/>
            <w:tcBorders>
              <w:left w:val="single" w:color="auto" w:sz="4" w:space="0"/>
              <w:right w:val="single" w:color="000000" w:sz="4" w:space="0"/>
            </w:tcBorders>
          </w:tcPr>
          <w:p w14:paraId="5EF5157C">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410C625F">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麻醉科</w:t>
            </w:r>
          </w:p>
        </w:tc>
        <w:tc>
          <w:tcPr>
            <w:tcW w:w="3060" w:type="dxa"/>
            <w:tcBorders>
              <w:top w:val="single" w:color="auto" w:sz="4" w:space="0"/>
              <w:left w:val="single" w:color="auto" w:sz="4" w:space="0"/>
              <w:bottom w:val="single" w:color="auto" w:sz="4" w:space="0"/>
              <w:right w:val="single" w:color="auto" w:sz="4" w:space="0"/>
            </w:tcBorders>
            <w:vAlign w:val="center"/>
          </w:tcPr>
          <w:p w14:paraId="250D7336">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麻醉药品管理柜辅柜</w:t>
            </w:r>
          </w:p>
        </w:tc>
        <w:tc>
          <w:tcPr>
            <w:tcW w:w="1875" w:type="dxa"/>
            <w:tcBorders>
              <w:top w:val="single" w:color="auto" w:sz="4" w:space="0"/>
              <w:left w:val="single" w:color="auto" w:sz="4" w:space="0"/>
              <w:bottom w:val="single" w:color="auto" w:sz="4" w:space="0"/>
              <w:right w:val="single" w:color="auto" w:sz="4" w:space="0"/>
            </w:tcBorders>
            <w:vAlign w:val="center"/>
          </w:tcPr>
          <w:p w14:paraId="7FB3C15B">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IRON-MZG100</w:t>
            </w:r>
          </w:p>
        </w:tc>
        <w:tc>
          <w:tcPr>
            <w:tcW w:w="1380" w:type="dxa"/>
            <w:tcBorders>
              <w:top w:val="single" w:color="auto" w:sz="4" w:space="0"/>
              <w:left w:val="single" w:color="auto" w:sz="4" w:space="0"/>
              <w:bottom w:val="single" w:color="auto" w:sz="4" w:space="0"/>
              <w:right w:val="single" w:color="auto" w:sz="4" w:space="0"/>
            </w:tcBorders>
            <w:vAlign w:val="center"/>
          </w:tcPr>
          <w:p w14:paraId="4CB36504">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35212958">
        <w:tblPrEx>
          <w:tblCellMar>
            <w:top w:w="0" w:type="dxa"/>
            <w:left w:w="108" w:type="dxa"/>
            <w:bottom w:w="0" w:type="dxa"/>
            <w:right w:w="108" w:type="dxa"/>
          </w:tblCellMar>
        </w:tblPrEx>
        <w:trPr>
          <w:trHeight w:val="23" w:hRule="atLeast"/>
        </w:trPr>
        <w:tc>
          <w:tcPr>
            <w:tcW w:w="1089" w:type="dxa"/>
            <w:vMerge w:val="continue"/>
            <w:tcBorders>
              <w:left w:val="single" w:color="auto" w:sz="4" w:space="0"/>
              <w:right w:val="single" w:color="000000" w:sz="4" w:space="0"/>
            </w:tcBorders>
          </w:tcPr>
          <w:p w14:paraId="3704A88E">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0A400F7C">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麻醉科</w:t>
            </w:r>
          </w:p>
        </w:tc>
        <w:tc>
          <w:tcPr>
            <w:tcW w:w="3060" w:type="dxa"/>
            <w:tcBorders>
              <w:top w:val="single" w:color="auto" w:sz="4" w:space="0"/>
              <w:left w:val="single" w:color="auto" w:sz="4" w:space="0"/>
              <w:bottom w:val="single" w:color="auto" w:sz="4" w:space="0"/>
              <w:right w:val="single" w:color="auto" w:sz="4" w:space="0"/>
            </w:tcBorders>
            <w:vAlign w:val="center"/>
          </w:tcPr>
          <w:p w14:paraId="477C9AB8">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麻精药品管理柜+冷藏柜</w:t>
            </w:r>
          </w:p>
        </w:tc>
        <w:tc>
          <w:tcPr>
            <w:tcW w:w="1875" w:type="dxa"/>
            <w:tcBorders>
              <w:top w:val="single" w:color="auto" w:sz="4" w:space="0"/>
              <w:left w:val="single" w:color="auto" w:sz="4" w:space="0"/>
              <w:bottom w:val="single" w:color="auto" w:sz="4" w:space="0"/>
              <w:right w:val="single" w:color="auto" w:sz="4" w:space="0"/>
            </w:tcBorders>
            <w:vAlign w:val="center"/>
          </w:tcPr>
          <w:p w14:paraId="21216E94">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IRON-MZG200</w:t>
            </w:r>
          </w:p>
        </w:tc>
        <w:tc>
          <w:tcPr>
            <w:tcW w:w="1380" w:type="dxa"/>
            <w:tcBorders>
              <w:top w:val="single" w:color="auto" w:sz="4" w:space="0"/>
              <w:left w:val="single" w:color="auto" w:sz="4" w:space="0"/>
              <w:bottom w:val="single" w:color="auto" w:sz="4" w:space="0"/>
              <w:right w:val="single" w:color="auto" w:sz="4" w:space="0"/>
            </w:tcBorders>
            <w:vAlign w:val="center"/>
          </w:tcPr>
          <w:p w14:paraId="1959F633">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53B78F50">
        <w:tblPrEx>
          <w:tblCellMar>
            <w:top w:w="0" w:type="dxa"/>
            <w:left w:w="108" w:type="dxa"/>
            <w:bottom w:w="0" w:type="dxa"/>
            <w:right w:w="108" w:type="dxa"/>
          </w:tblCellMar>
        </w:tblPrEx>
        <w:trPr>
          <w:trHeight w:val="563" w:hRule="atLeast"/>
        </w:trPr>
        <w:tc>
          <w:tcPr>
            <w:tcW w:w="1089" w:type="dxa"/>
            <w:vMerge w:val="continue"/>
            <w:tcBorders>
              <w:left w:val="single" w:color="auto" w:sz="4" w:space="0"/>
              <w:right w:val="single" w:color="000000" w:sz="4" w:space="0"/>
            </w:tcBorders>
          </w:tcPr>
          <w:p w14:paraId="0784A96B">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4CD3C60A">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麻醉科</w:t>
            </w:r>
          </w:p>
        </w:tc>
        <w:tc>
          <w:tcPr>
            <w:tcW w:w="3060" w:type="dxa"/>
            <w:tcBorders>
              <w:top w:val="single" w:color="auto" w:sz="4" w:space="0"/>
              <w:left w:val="single" w:color="auto" w:sz="4" w:space="0"/>
              <w:bottom w:val="single" w:color="auto" w:sz="4" w:space="0"/>
              <w:right w:val="single" w:color="auto" w:sz="4" w:space="0"/>
            </w:tcBorders>
            <w:vAlign w:val="center"/>
          </w:tcPr>
          <w:p w14:paraId="34DC414E">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麻醉用药管理系统(包括服务器)</w:t>
            </w:r>
          </w:p>
        </w:tc>
        <w:tc>
          <w:tcPr>
            <w:tcW w:w="1875" w:type="dxa"/>
            <w:tcBorders>
              <w:top w:val="single" w:color="auto" w:sz="4" w:space="0"/>
              <w:left w:val="single" w:color="auto" w:sz="4" w:space="0"/>
              <w:bottom w:val="single" w:color="auto" w:sz="4" w:space="0"/>
              <w:right w:val="single" w:color="auto" w:sz="4" w:space="0"/>
            </w:tcBorders>
            <w:vAlign w:val="center"/>
          </w:tcPr>
          <w:p w14:paraId="3EA7B118">
            <w:pPr>
              <w:spacing w:after="0"/>
              <w:jc w:val="center"/>
              <w:textAlignment w:val="bottom"/>
              <w:rPr>
                <w:rFonts w:asciiTheme="minorEastAsia" w:hAnsiTheme="minorEastAsia" w:eastAsiaTheme="minorEastAsia" w:cstheme="minorEastAsia"/>
                <w:sz w:val="21"/>
                <w:szCs w:val="21"/>
                <w:lang w:val="zh-CN"/>
              </w:rPr>
            </w:pPr>
          </w:p>
        </w:tc>
        <w:tc>
          <w:tcPr>
            <w:tcW w:w="1380" w:type="dxa"/>
            <w:tcBorders>
              <w:top w:val="single" w:color="auto" w:sz="4" w:space="0"/>
              <w:left w:val="single" w:color="auto" w:sz="4" w:space="0"/>
              <w:bottom w:val="single" w:color="auto" w:sz="4" w:space="0"/>
              <w:right w:val="single" w:color="auto" w:sz="4" w:space="0"/>
            </w:tcBorders>
            <w:vAlign w:val="center"/>
          </w:tcPr>
          <w:p w14:paraId="1E8AADA3">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4E7EDE2C">
        <w:tblPrEx>
          <w:tblCellMar>
            <w:top w:w="0" w:type="dxa"/>
            <w:left w:w="108" w:type="dxa"/>
            <w:bottom w:w="0" w:type="dxa"/>
            <w:right w:w="108" w:type="dxa"/>
          </w:tblCellMar>
        </w:tblPrEx>
        <w:trPr>
          <w:trHeight w:val="23" w:hRule="atLeast"/>
        </w:trPr>
        <w:tc>
          <w:tcPr>
            <w:tcW w:w="1089" w:type="dxa"/>
            <w:vMerge w:val="continue"/>
            <w:tcBorders>
              <w:left w:val="single" w:color="auto" w:sz="4" w:space="0"/>
              <w:bottom w:val="single" w:color="auto" w:sz="4" w:space="0"/>
              <w:right w:val="single" w:color="000000" w:sz="4" w:space="0"/>
            </w:tcBorders>
          </w:tcPr>
          <w:p w14:paraId="1A802520">
            <w:pPr>
              <w:spacing w:after="0"/>
              <w:jc w:val="center"/>
              <w:textAlignment w:val="center"/>
              <w:rPr>
                <w:rFonts w:asciiTheme="minorEastAsia" w:hAnsiTheme="minorEastAsia" w:eastAsiaTheme="minorEastAsia" w:cstheme="minorEastAsia"/>
                <w:b/>
                <w:bCs/>
                <w:sz w:val="21"/>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1E58E789">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麻醉科</w:t>
            </w:r>
          </w:p>
        </w:tc>
        <w:tc>
          <w:tcPr>
            <w:tcW w:w="3060" w:type="dxa"/>
            <w:tcBorders>
              <w:top w:val="single" w:color="auto" w:sz="4" w:space="0"/>
              <w:left w:val="single" w:color="auto" w:sz="4" w:space="0"/>
              <w:bottom w:val="single" w:color="auto" w:sz="4" w:space="0"/>
              <w:right w:val="single" w:color="auto" w:sz="4" w:space="0"/>
            </w:tcBorders>
            <w:vAlign w:val="center"/>
          </w:tcPr>
          <w:p w14:paraId="0EB9ED29">
            <w:pPr>
              <w:spacing w:after="0"/>
              <w:textAlignment w:val="bottom"/>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药品套餐箱</w:t>
            </w:r>
          </w:p>
        </w:tc>
        <w:tc>
          <w:tcPr>
            <w:tcW w:w="1875" w:type="dxa"/>
            <w:tcBorders>
              <w:top w:val="single" w:color="auto" w:sz="4" w:space="0"/>
              <w:left w:val="single" w:color="auto" w:sz="4" w:space="0"/>
              <w:bottom w:val="single" w:color="auto" w:sz="4" w:space="0"/>
              <w:right w:val="single" w:color="auto" w:sz="4" w:space="0"/>
            </w:tcBorders>
            <w:vAlign w:val="center"/>
          </w:tcPr>
          <w:p w14:paraId="278A88C0">
            <w:pPr>
              <w:spacing w:after="0"/>
              <w:jc w:val="center"/>
              <w:textAlignment w:val="bottom"/>
              <w:rPr>
                <w:rFonts w:asciiTheme="minorEastAsia" w:hAnsiTheme="minorEastAsia" w:eastAsiaTheme="minorEastAsia" w:cstheme="minorEastAsia"/>
                <w:sz w:val="21"/>
                <w:szCs w:val="21"/>
                <w:lang w:val="zh-CN"/>
              </w:rPr>
            </w:pPr>
          </w:p>
        </w:tc>
        <w:tc>
          <w:tcPr>
            <w:tcW w:w="1380" w:type="dxa"/>
            <w:tcBorders>
              <w:top w:val="single" w:color="auto" w:sz="4" w:space="0"/>
              <w:left w:val="single" w:color="auto" w:sz="4" w:space="0"/>
              <w:bottom w:val="single" w:color="auto" w:sz="4" w:space="0"/>
              <w:right w:val="single" w:color="auto" w:sz="4" w:space="0"/>
            </w:tcBorders>
            <w:vAlign w:val="center"/>
          </w:tcPr>
          <w:p w14:paraId="7C22E6B0">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艾隆</w:t>
            </w:r>
          </w:p>
        </w:tc>
      </w:tr>
      <w:tr w14:paraId="076FF919">
        <w:tblPrEx>
          <w:tblCellMar>
            <w:top w:w="0" w:type="dxa"/>
            <w:left w:w="108" w:type="dxa"/>
            <w:bottom w:w="0" w:type="dxa"/>
            <w:right w:w="108" w:type="dxa"/>
          </w:tblCellMar>
        </w:tblPrEx>
        <w:trPr>
          <w:trHeight w:val="23" w:hRule="atLeast"/>
        </w:trPr>
        <w:tc>
          <w:tcPr>
            <w:tcW w:w="1089" w:type="dxa"/>
            <w:tcBorders>
              <w:top w:val="single" w:color="auto" w:sz="4" w:space="0"/>
              <w:left w:val="single" w:color="auto" w:sz="4" w:space="0"/>
              <w:bottom w:val="single" w:color="auto" w:sz="4" w:space="0"/>
              <w:right w:val="single" w:color="000000" w:sz="4" w:space="0"/>
            </w:tcBorders>
            <w:vAlign w:val="center"/>
          </w:tcPr>
          <w:p w14:paraId="7F95722B">
            <w:pPr>
              <w:spacing w:after="0"/>
              <w:jc w:val="center"/>
              <w:textAlignment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其他</w:t>
            </w:r>
          </w:p>
        </w:tc>
        <w:tc>
          <w:tcPr>
            <w:tcW w:w="7630" w:type="dxa"/>
            <w:gridSpan w:val="4"/>
            <w:tcBorders>
              <w:top w:val="single" w:color="auto" w:sz="4" w:space="0"/>
              <w:left w:val="single" w:color="auto" w:sz="4" w:space="0"/>
              <w:bottom w:val="single" w:color="auto" w:sz="4" w:space="0"/>
              <w:right w:val="single" w:color="auto" w:sz="4" w:space="0"/>
            </w:tcBorders>
            <w:vAlign w:val="bottom"/>
          </w:tcPr>
          <w:p w14:paraId="2FC69052">
            <w:pPr>
              <w:spacing w:after="0"/>
              <w:textAlignment w:val="bottom"/>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呼吸、麻醉、监护、输注、供应室、血透、眼科设备等医疗设备固定资产台账中的所有资产，约5000余台/套。</w:t>
            </w:r>
            <w:r>
              <w:rPr>
                <w:rFonts w:hint="eastAsia" w:asciiTheme="minorEastAsia" w:hAnsiTheme="minorEastAsia" w:eastAsiaTheme="minorEastAsia" w:cstheme="minorEastAsia"/>
                <w:color w:val="FF0000"/>
                <w:sz w:val="21"/>
                <w:szCs w:val="21"/>
              </w:rPr>
              <w:t>（详情请咨询医院）</w:t>
            </w:r>
          </w:p>
        </w:tc>
      </w:tr>
    </w:tbl>
    <w:p w14:paraId="2B3F8109">
      <w:pPr>
        <w:widowControl w:val="0"/>
        <w:spacing w:after="0" w:line="480" w:lineRule="exact"/>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二、服务要求细则</w:t>
      </w:r>
    </w:p>
    <w:p w14:paraId="391CD78D">
      <w:pPr>
        <w:widowControl w:val="0"/>
        <w:spacing w:after="0" w:line="480" w:lineRule="exact"/>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（一）综合要求</w:t>
      </w:r>
    </w:p>
    <w:p w14:paraId="361D4C9E">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服务设备范围：对医院资产账册上的医疗设备（包含医院年度采购新增设备）和药房智能化管理系统整体进行打包服务，其中有保修合同及未出保设备，本项目中标服务商负责联系服务提供商或原厂，并监督反馈其服务质量；处于脱保状态设备，本项目中标商提供该类设备的全生命周期管理服务，包括整机、所有零备件及所有易损件维修及更换。不包括制造商规定的一次性消耗品。</w:t>
      </w:r>
    </w:p>
    <w:p w14:paraId="27598D4A">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组安排8名初级以上机械电子或自控等相关专业工程师资质的驻场（其中至少1名具有血透工程师资质，1名项目负责人），工程师具备相关医疗设备的培训证书。服务期内驻场工程人员未经院方允许不得随意调换。</w:t>
      </w:r>
    </w:p>
    <w:p w14:paraId="56E95664">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3、设备故障保修后30分钟内，工程师及时响应到达现场。全年周一至周日365日含节假日24小时正常提供维修服务以保证科室设备的正常使用。</w:t>
      </w:r>
    </w:p>
    <w:p w14:paraId="6FCD7F6F">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4、提供驻场工程师外的其他专业工程师的无限次上门维修服务，含维修人员的工时费、差旅费。</w:t>
      </w:r>
    </w:p>
    <w:p w14:paraId="66BDAE0D">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5、保证急救生命支持类设备100%处于完好待机状态，发生故障时提供备用机。其他所保设备全年开机率达到95%，全年停机超过18天时，每超过1天则保修期往后顺延3天。</w:t>
      </w:r>
    </w:p>
    <w:p w14:paraId="0BD41409">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合同期内每月提供因故障而更换的备件及易损件报表。提供易损件包括球管、探头、袖带、血氧指夹、（可复用）呼吸管路、导联线、消毒灭菌灯管、电池等等。所有维修所用配件需提供原厂购置发票。原厂配件无法提供正规货源佐证材料的，医院有权重新从原厂正规渠道采购和维修，由此所产生的一系列费用从医院下期支付给服务方的服务费中扣除。</w:t>
      </w:r>
    </w:p>
    <w:p w14:paraId="483A9A98">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在服务周期内，原签订的维保合同尚在合同期内的，继续按原合同履行，费用从中标价格中扣除，出保后由中标方与原厂签订维保合同，并提供合同复印件交采购人备案。特别说明：MR、CT、DSA、软性内窥镜、药房智能化管理系统必须由原厂提供维保。</w:t>
      </w:r>
    </w:p>
    <w:p w14:paraId="27BD884E">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评估及报废处理原则：对超期服役或已经停产、厂家或第三方均无法提供备件、供应商无法修复的设备，供应商需提交纸质申请，由院方设备管理部门核实，并由使用科室提交申请后方可启动报废手续。报废设备剔除服务后由医院新购置设备出保项目同等金额替换进入第三方服务内容。</w:t>
      </w:r>
    </w:p>
    <w:p w14:paraId="3F5EE182">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9、协助医院跟进新设备的安装、验收、使用前培训与考核等工作，配合医院对医疗设备进行全流程管理，具体管理要求参照《江苏省三级综合医院评审标准实施细则2023版》。</w:t>
      </w:r>
    </w:p>
    <w:p w14:paraId="0813133E">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10、协助医院梳理明确医疗设备报警项目（内容），对这些项目要有进行分级，制订分级管理、响应措施，以及对这些措施的培训。</w:t>
      </w:r>
    </w:p>
    <w:p w14:paraId="4B8FB8B6">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11、为临床使用的医疗器械提供技术支持、业务指导、安全保障与咨询服务，并做好实时记录。</w:t>
      </w:r>
    </w:p>
    <w:p w14:paraId="66FDDCF4">
      <w:pPr>
        <w:spacing w:after="0" w:line="48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（二）设备巡检保养要求</w:t>
      </w:r>
    </w:p>
    <w:p w14:paraId="3B6748C2">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1、按照保养计划每月对设备进行二级保养。对于急救类、生命支持类以及万元以上其他医疗设备的维修、保养、巡查记录（电子存档及纸质报告）。</w:t>
      </w:r>
    </w:p>
    <w:p w14:paraId="5F1E3A5E">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2、医疗设备按风险程度进行分类，设置对应保养周期。针对高风险设备至少每月一次保养，中低风险设备至少每季度一次保养。</w:t>
      </w:r>
    </w:p>
    <w:p w14:paraId="564EFE3C">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3、针对不同设备制定不同的维保方案，举例如下：</w:t>
      </w:r>
    </w:p>
    <w:p w14:paraId="27D5F211">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3.1超声设备的保养有滤网清洗、探头线缆消毒、探头的日常维护、探头的清洁与消毒 、轨迹球清洁。</w:t>
      </w:r>
    </w:p>
    <w:p w14:paraId="759FA368">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3.2除颤仪的保养有手柄日常检查和清洁、电池的维护保养。</w:t>
      </w:r>
    </w:p>
    <w:p w14:paraId="27B6E6BF">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3.3呼吸机的保养有主机和压缩泵的外表面需清洁、气源过滤网、呼吸机内部电子器件的除 尘、湿化器、气体管路、空气过滤器、机身表面的保养。</w:t>
      </w:r>
    </w:p>
    <w:p w14:paraId="2B94DB22">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3.4监护仪的保养有心电导联线的检测，血氧饱和度部分，呼吸部分，无创血压的检测。</w:t>
      </w:r>
    </w:p>
    <w:p w14:paraId="34EAD248">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3.5输液泵、监护仪、除颤仪、微量注射泵、电动洗胃机、心电图机等急救生命类仪器的保养有先通电检查是否正常，开机有无报错，所使用附件中有无出现异常的数据，给仪器除尘。</w:t>
      </w:r>
    </w:p>
    <w:p w14:paraId="659E5AAA">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3.6其他设备定期维护保养有程序的检测、图像性能、辐射安全、外观保养等。</w:t>
      </w:r>
    </w:p>
    <w:p w14:paraId="5A16A32B">
      <w:pPr>
        <w:widowControl w:val="0"/>
        <w:spacing w:after="0" w:line="480" w:lineRule="exact"/>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4、用于转运的医疗设备的电池有定期充放电保养保养和更换计划，保证设备时刻处于完好待机状态。</w:t>
      </w:r>
    </w:p>
    <w:p w14:paraId="7932EA92">
      <w:pPr>
        <w:spacing w:after="0" w:line="48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（三）设备质量控制要求</w:t>
      </w:r>
    </w:p>
    <w:p w14:paraId="106BCAF9">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1、对于生命支持类等重要设备（例如除颤，呼吸机，监护，输注泵、电刀等），使用专业质控设备进行每年一次的质控检测，性能参数记录在案签字后上传到系统作为历史记录。</w:t>
      </w:r>
    </w:p>
    <w:p w14:paraId="10A72289">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2、属于国家规定的强检设备在录入系统时都按照强检要求建立强检计划，并设定提醒周期。</w:t>
      </w:r>
    </w:p>
    <w:p w14:paraId="172B5B88">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3、检测周期内协助医院把该周期内需要强检的设备进行规范的送检，或者协助对外联系强检机构上门检测。</w:t>
      </w:r>
    </w:p>
    <w:p w14:paraId="420C29C4">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4、协助医院把检测报告上传到对应的强检设备中作为检测历史记录保存。</w:t>
      </w:r>
    </w:p>
    <w:p w14:paraId="008E8456">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5、负责保证设备性能符合质量技术监督、生态环境、卫生监督等相关政府职能部门的要求。</w:t>
      </w:r>
    </w:p>
    <w:p w14:paraId="4623BFC3">
      <w:pPr>
        <w:spacing w:after="0" w:line="48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（四）应急保障要求</w:t>
      </w:r>
    </w:p>
    <w:p w14:paraId="790AC45E">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1、有医学装备日常管理工作和应急管理等相关制度，建立应急管理程序，装备故障时有紧急替代流程。优先保障急救类、生命支持类装备的应急调配。</w:t>
      </w:r>
    </w:p>
    <w:p w14:paraId="7C086AC4">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2、在院内设立24小时独立运行的应急调配中心，配备相应应急设备及技术人员。</w:t>
      </w:r>
    </w:p>
    <w:p w14:paraId="15639811">
      <w:pPr>
        <w:spacing w:after="0" w:line="48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（五）数据统计、分析报告要求</w:t>
      </w:r>
    </w:p>
    <w:p w14:paraId="761B3B19">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1、对设备维修历史数据及发生的情况进行统计分析，根据预测有针对性的对负责的设备做出相关零备件安全库存。</w:t>
      </w:r>
    </w:p>
    <w:p w14:paraId="1F5A2F25">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2、按照医院管理要求协助统计分析医院需要的报告数据，为保证设备维保有序进行,服务方通过管理软件对医院规定医疗设备进行全程运维管理，包括设备效益分析、绩效管理。</w:t>
      </w:r>
    </w:p>
    <w:p w14:paraId="3CD65CD6">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3、每半年度提供设备服务综合报告给医院管理层：包括维修记录统计，零备件更换统计，保养记录统计，原厂召回统计，服役设备停产统计。录入系统，并以纸质文件上报医院。</w:t>
      </w:r>
    </w:p>
    <w:p w14:paraId="4E4C8CF9">
      <w:pPr>
        <w:spacing w:after="0" w:line="48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（六）管理软件功能要求</w:t>
      </w:r>
    </w:p>
    <w:p w14:paraId="29EBF658">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为保证设备维保有序进行,须为医疗设备提供一套管理软件，并且配备1-2名软件工程师负责管理软件与his数据对接，功能完善及开发。管理软件需包含以下功能：</w:t>
      </w:r>
    </w:p>
    <w:p w14:paraId="6802FEA4">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1、基础信息管理：记录设备的基本信息如型号、生产厂家，记录设备从采购到报废的全部过程。</w:t>
      </w:r>
    </w:p>
    <w:p w14:paraId="292DB110">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2、合同管理：管理与设备有关的全部的合同信息，包括费用的来源情况、付款情况、发票信息等。</w:t>
      </w:r>
    </w:p>
    <w:p w14:paraId="47553D14">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3、信息提示：具备根据既定的条件自动产生巡检、强检、保养、报废等信息并及时提醒。</w:t>
      </w:r>
    </w:p>
    <w:p w14:paraId="1DFBEB25">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4、监管管理：对医疗设备在使用过程中发生的不良事件和自查报告等关键信息进行实时监督。</w:t>
      </w:r>
    </w:p>
    <w:p w14:paraId="626354FE">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5、强检管理：具备在医疗设备强检前自动产生预警,为设备的强检提供全面实时管理 。</w:t>
      </w:r>
    </w:p>
    <w:p w14:paraId="4B2536DC">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6、维修管理：实现从报修到维修完毕的全过程管理。并纪录设备维修中的各类的信息 ,包括故障情况,维修备件,时间节点等,并可通过系统对维修效率,品质等进行分析。</w:t>
      </w:r>
    </w:p>
    <w:p w14:paraId="06FF617E">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7、维修商管理：管理维修商的资质、实现维修商的维修情况分析和评估，实现对于维修商在维修、保养过程的监管。</w:t>
      </w:r>
    </w:p>
    <w:p w14:paraId="1AC58146">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8、设备盘点：通过移动端实现医疗设备的盘点管理功能。</w:t>
      </w:r>
    </w:p>
    <w:p w14:paraId="74456C82">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9、设备巡检：实现设备的日常巡检管理，并能产生相应的提示和报表分析。</w:t>
      </w:r>
    </w:p>
    <w:p w14:paraId="6F5BB685">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10、设备管理移动终端化：实现设备管理的移动终端化，包括：设备维修、设备保养、设备巡检。并提供移动端的信息推送。</w:t>
      </w:r>
    </w:p>
    <w:p w14:paraId="5A4F0CA9">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11、报表管理：系统提供医疗设备管理报表。如：维修费、开机率、维修时间等。</w:t>
      </w:r>
    </w:p>
    <w:p w14:paraId="33307C5B">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12、绩效管理：系统具备医疗设备绩效管理模块，每半年提供医院要求设备的相关效益分析报告。</w:t>
      </w:r>
    </w:p>
    <w:p w14:paraId="440CA3C2">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13、设备资料库：具备记录并分析设备全生命周期的数据，如：设备采购、维修、保养、巡检等，为用户采购提供有效的科学依据。</w:t>
      </w:r>
    </w:p>
    <w:p w14:paraId="6879E239">
      <w:pPr>
        <w:spacing w:after="0" w:line="480" w:lineRule="exact"/>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三、其他说明</w:t>
      </w:r>
    </w:p>
    <w:p w14:paraId="151007D3">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1、本次信息征询不接受联合体推介。</w:t>
      </w:r>
    </w:p>
    <w:p w14:paraId="54788BB4">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踏勘现场：各推介单位须自行进行现场勘查，勘察现场所发生的费用由推介单位自己承担。推介单位不得以不完全了解现场情况或其它任何理由向医院提出重新征询要求，对此采购人不承担任何责任并将不作任何答复与考虑。</w:t>
      </w:r>
    </w:p>
    <w:p w14:paraId="22892935">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3、如遇特殊情况（工作量减少或增加幅度较大时），医院将提前告知信息征询报名人。</w:t>
      </w:r>
    </w:p>
    <w:p w14:paraId="304D735D">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4、推介人必须承诺信息征询书中提出的全部服务要求，并逐一说明响应情况。如果其中某些条款不响应时，应在文件中逐条列出，未列出的视同响应。</w:t>
      </w:r>
    </w:p>
    <w:p w14:paraId="7E847C30">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5、项目服务期间，医院将定期、不定期对服务方进行检查及考核，服务方必须无条件接受考核。</w:t>
      </w:r>
    </w:p>
    <w:p w14:paraId="167B0B24">
      <w:pPr>
        <w:spacing w:after="0" w:line="48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6、每期付款前，医院对服务方的前一期服务工作根据医院制定的医疗设备维保服务监督管理办法进行全面评审，评审合格后方可付费。</w:t>
      </w:r>
    </w:p>
    <w:p w14:paraId="461D3D67">
      <w:pPr>
        <w:spacing w:after="0" w:line="480" w:lineRule="exact"/>
        <w:rPr>
          <w:rFonts w:ascii="仿宋_GB2312" w:hAnsi="仿宋_GB2312" w:eastAsia="仿宋_GB2312" w:cs="仿宋_GB2312"/>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ZjJmYTU2OGNiNGMwNDY4ZGU1YTU0MWY1NDAyMmYifQ=="/>
  </w:docVars>
  <w:rsids>
    <w:rsidRoot w:val="00D31D50"/>
    <w:rsid w:val="00145DC8"/>
    <w:rsid w:val="00292DED"/>
    <w:rsid w:val="002D2722"/>
    <w:rsid w:val="00323B43"/>
    <w:rsid w:val="003C5373"/>
    <w:rsid w:val="003D37D8"/>
    <w:rsid w:val="00426133"/>
    <w:rsid w:val="004358AB"/>
    <w:rsid w:val="004471BD"/>
    <w:rsid w:val="006E1387"/>
    <w:rsid w:val="007D62D5"/>
    <w:rsid w:val="00812224"/>
    <w:rsid w:val="00852EB0"/>
    <w:rsid w:val="008A14EE"/>
    <w:rsid w:val="008B7726"/>
    <w:rsid w:val="00970685"/>
    <w:rsid w:val="0098606A"/>
    <w:rsid w:val="00B769FF"/>
    <w:rsid w:val="00CA7064"/>
    <w:rsid w:val="00CE12CC"/>
    <w:rsid w:val="00CE7E73"/>
    <w:rsid w:val="00D31D50"/>
    <w:rsid w:val="00E02074"/>
    <w:rsid w:val="00E91E29"/>
    <w:rsid w:val="015A1987"/>
    <w:rsid w:val="08964FCD"/>
    <w:rsid w:val="0DB317B6"/>
    <w:rsid w:val="103C0A74"/>
    <w:rsid w:val="1ED3736B"/>
    <w:rsid w:val="27475974"/>
    <w:rsid w:val="284A5F74"/>
    <w:rsid w:val="2DAC4350"/>
    <w:rsid w:val="33B56768"/>
    <w:rsid w:val="38740160"/>
    <w:rsid w:val="3EBA481B"/>
    <w:rsid w:val="3F55646F"/>
    <w:rsid w:val="454D5FC1"/>
    <w:rsid w:val="45A55DFD"/>
    <w:rsid w:val="47B15409"/>
    <w:rsid w:val="53B94EE3"/>
    <w:rsid w:val="5BC06CC0"/>
    <w:rsid w:val="5FC52ECB"/>
    <w:rsid w:val="63282C47"/>
    <w:rsid w:val="65340FB0"/>
    <w:rsid w:val="6EB0274D"/>
    <w:rsid w:val="72D56331"/>
    <w:rsid w:val="740E7D47"/>
    <w:rsid w:val="7F3B7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widowControl w:val="0"/>
      <w:snapToGrid/>
      <w:spacing w:after="0"/>
      <w:ind w:firstLine="420"/>
      <w:textAlignment w:val="baseline"/>
    </w:pPr>
    <w:rPr>
      <w:rFonts w:ascii="Times New Roman" w:hAnsi="Times New Roman" w:eastAsia="楷体_GB2312" w:cs="Times New Roman"/>
      <w:kern w:val="2"/>
      <w:sz w:val="24"/>
      <w:szCs w:val="20"/>
    </w:rPr>
  </w:style>
  <w:style w:type="paragraph" w:styleId="3">
    <w:name w:val="annotation text"/>
    <w:basedOn w:val="1"/>
    <w:semiHidden/>
    <w:unhideWhenUsed/>
    <w:uiPriority w:val="99"/>
  </w:style>
  <w:style w:type="paragraph" w:styleId="4">
    <w:name w:val="Block Text"/>
    <w:basedOn w:val="1"/>
    <w:qFormat/>
    <w:uiPriority w:val="0"/>
    <w:pPr>
      <w:widowControl w:val="0"/>
      <w:snapToGrid/>
      <w:spacing w:after="0" w:line="360" w:lineRule="auto"/>
      <w:ind w:left="630" w:right="-609" w:firstLine="420"/>
      <w:jc w:val="both"/>
    </w:pPr>
    <w:rPr>
      <w:rFonts w:hint="eastAsia" w:ascii="仿宋_GB2312" w:hAnsi="Times New Roman" w:eastAsia="仿宋_GB2312" w:cs="Times New Roman"/>
      <w:sz w:val="21"/>
      <w:szCs w:val="20"/>
    </w:rPr>
  </w:style>
  <w:style w:type="paragraph" w:styleId="5">
    <w:name w:val="Balloon Text"/>
    <w:basedOn w:val="1"/>
    <w:link w:val="18"/>
    <w:qFormat/>
    <w:uiPriority w:val="99"/>
    <w:pPr>
      <w:widowControl w:val="0"/>
      <w:adjustRightInd/>
      <w:snapToGrid/>
      <w:spacing w:after="0"/>
      <w:jc w:val="both"/>
    </w:pPr>
    <w:rPr>
      <w:rFonts w:ascii="Calibri" w:hAnsi="Calibri" w:eastAsia="宋体" w:cs="Times New Roman"/>
      <w:kern w:val="2"/>
      <w:sz w:val="18"/>
      <w:szCs w:val="18"/>
    </w:rPr>
  </w:style>
  <w:style w:type="paragraph" w:styleId="6">
    <w:name w:val="footer"/>
    <w:basedOn w:val="1"/>
    <w:link w:val="17"/>
    <w:unhideWhenUsed/>
    <w:qFormat/>
    <w:uiPriority w:val="0"/>
    <w:pPr>
      <w:tabs>
        <w:tab w:val="center" w:pos="4153"/>
        <w:tab w:val="right" w:pos="8306"/>
      </w:tabs>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jc w:val="center"/>
    </w:pPr>
    <w:rPr>
      <w:sz w:val="18"/>
      <w:szCs w:val="18"/>
    </w:rPr>
  </w:style>
  <w:style w:type="paragraph" w:styleId="8">
    <w:name w:val="toc 1"/>
    <w:basedOn w:val="1"/>
    <w:next w:val="1"/>
    <w:qFormat/>
    <w:uiPriority w:val="0"/>
    <w:pPr>
      <w:widowControl w:val="0"/>
      <w:snapToGrid/>
      <w:spacing w:after="0"/>
    </w:pPr>
    <w:rPr>
      <w:rFonts w:ascii="Times New Roman" w:hAnsi="Times New Roman" w:eastAsia="楷体_GB2312" w:cs="Times New Roman"/>
      <w:kern w:val="2"/>
      <w:sz w:val="24"/>
      <w:szCs w:val="20"/>
    </w:rPr>
  </w:style>
  <w:style w:type="paragraph" w:styleId="9">
    <w:name w:val="Body Text Indent 3"/>
    <w:basedOn w:val="1"/>
    <w:link w:val="19"/>
    <w:qFormat/>
    <w:uiPriority w:val="0"/>
    <w:pPr>
      <w:widowControl w:val="0"/>
      <w:adjustRightInd/>
      <w:snapToGrid/>
      <w:spacing w:after="0" w:line="440" w:lineRule="atLeast"/>
      <w:ind w:firstLine="480" w:firstLineChars="200"/>
    </w:pPr>
    <w:rPr>
      <w:rFonts w:ascii="Times New Roman" w:hAnsi="Times New Roman" w:eastAsia="宋体" w:cs="Times New Roman"/>
      <w:sz w:val="24"/>
      <w:szCs w:val="24"/>
    </w:rPr>
  </w:style>
  <w:style w:type="paragraph" w:styleId="10">
    <w:name w:val="Normal (Web)"/>
    <w:basedOn w:val="1"/>
    <w:qFormat/>
    <w:uiPriority w:val="99"/>
    <w:pPr>
      <w:widowControl w:val="0"/>
      <w:adjustRightInd/>
      <w:snapToGrid/>
      <w:spacing w:beforeAutospacing="1" w:after="0" w:afterAutospacing="1"/>
    </w:pPr>
    <w:rPr>
      <w:rFonts w:ascii="Calibri" w:hAnsi="Calibri" w:eastAsia="宋体" w:cs="Times New Roman"/>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styleId="15">
    <w:name w:val="Hyperlink"/>
    <w:basedOn w:val="13"/>
    <w:qFormat/>
    <w:uiPriority w:val="0"/>
    <w:rPr>
      <w:color w:val="0000FF"/>
      <w:u w:val="single"/>
    </w:rPr>
  </w:style>
  <w:style w:type="character" w:customStyle="1" w:styleId="16">
    <w:name w:val="页眉 Char"/>
    <w:basedOn w:val="13"/>
    <w:link w:val="7"/>
    <w:qFormat/>
    <w:uiPriority w:val="0"/>
    <w:rPr>
      <w:rFonts w:ascii="Tahoma" w:hAnsi="Tahoma"/>
      <w:sz w:val="18"/>
      <w:szCs w:val="18"/>
    </w:rPr>
  </w:style>
  <w:style w:type="character" w:customStyle="1" w:styleId="17">
    <w:name w:val="页脚 Char"/>
    <w:basedOn w:val="13"/>
    <w:link w:val="6"/>
    <w:qFormat/>
    <w:uiPriority w:val="0"/>
    <w:rPr>
      <w:rFonts w:ascii="Tahoma" w:hAnsi="Tahoma"/>
      <w:sz w:val="18"/>
      <w:szCs w:val="18"/>
    </w:rPr>
  </w:style>
  <w:style w:type="character" w:customStyle="1" w:styleId="18">
    <w:name w:val="批注框文本 Char"/>
    <w:basedOn w:val="13"/>
    <w:link w:val="5"/>
    <w:qFormat/>
    <w:uiPriority w:val="99"/>
    <w:rPr>
      <w:rFonts w:ascii="Calibri" w:hAnsi="Calibri" w:eastAsia="宋体" w:cs="Times New Roman"/>
      <w:kern w:val="2"/>
      <w:sz w:val="18"/>
      <w:szCs w:val="18"/>
    </w:rPr>
  </w:style>
  <w:style w:type="character" w:customStyle="1" w:styleId="19">
    <w:name w:val="正文文本缩进 3 Char"/>
    <w:basedOn w:val="13"/>
    <w:link w:val="9"/>
    <w:qFormat/>
    <w:uiPriority w:val="0"/>
    <w:rPr>
      <w:rFonts w:ascii="Times New Roman" w:hAnsi="Times New Roman" w:eastAsia="宋体" w:cs="Times New Roman"/>
      <w:sz w:val="24"/>
      <w:szCs w:val="24"/>
    </w:rPr>
  </w:style>
  <w:style w:type="paragraph" w:customStyle="1" w:styleId="20">
    <w:name w:val="纯文本6"/>
    <w:basedOn w:val="1"/>
    <w:qFormat/>
    <w:uiPriority w:val="99"/>
    <w:pPr>
      <w:widowControl w:val="0"/>
      <w:snapToGrid/>
      <w:spacing w:after="0"/>
      <w:jc w:val="both"/>
    </w:pPr>
    <w:rPr>
      <w:rFonts w:ascii="宋体" w:hAnsi="Courier New" w:eastAsia="楷体_GB2312" w:cs="Times New Roman"/>
      <w:sz w:val="26"/>
      <w:szCs w:val="20"/>
    </w:rPr>
  </w:style>
  <w:style w:type="paragraph" w:customStyle="1" w:styleId="21">
    <w:name w:val="Andy_正文"/>
    <w:basedOn w:val="1"/>
    <w:qFormat/>
    <w:uiPriority w:val="0"/>
    <w:pPr>
      <w:widowControl w:val="0"/>
      <w:adjustRightInd/>
      <w:snapToGrid/>
      <w:spacing w:after="0" w:line="360" w:lineRule="auto"/>
      <w:ind w:firstLine="480" w:firstLineChars="200"/>
      <w:jc w:val="both"/>
    </w:pPr>
    <w:rPr>
      <w:rFonts w:ascii="等线" w:hAnsi="等线" w:eastAsia="等线" w:cs="Times New Roman"/>
      <w:sz w:val="24"/>
      <w:szCs w:val="24"/>
    </w:rPr>
  </w:style>
  <w:style w:type="paragraph" w:customStyle="1" w:styleId="22">
    <w:name w:val="纯文本11"/>
    <w:basedOn w:val="1"/>
    <w:qFormat/>
    <w:uiPriority w:val="0"/>
    <w:pPr>
      <w:widowControl w:val="0"/>
      <w:snapToGrid/>
      <w:spacing w:after="0"/>
      <w:jc w:val="both"/>
    </w:pPr>
    <w:rPr>
      <w:rFonts w:hint="eastAsia" w:ascii="宋体" w:hAnsi="Courier New" w:eastAsia="宋体" w:cs="Times New Roman"/>
      <w:kern w:val="2"/>
      <w:sz w:val="28"/>
      <w:szCs w:val="20"/>
    </w:rPr>
  </w:style>
  <w:style w:type="paragraph" w:customStyle="1" w:styleId="23">
    <w:name w:val="纯文本1"/>
    <w:basedOn w:val="1"/>
    <w:qFormat/>
    <w:uiPriority w:val="0"/>
    <w:pPr>
      <w:widowControl w:val="0"/>
      <w:snapToGrid/>
      <w:spacing w:after="0"/>
      <w:jc w:val="both"/>
    </w:pPr>
    <w:rPr>
      <w:rFonts w:ascii="宋体" w:hAnsi="Courier New" w:eastAsia="楷体_GB2312" w:cs="Times New Roman"/>
      <w:kern w:val="2"/>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6AF38-06C9-47A2-9D1F-06D7FD1B3DE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4655</Words>
  <Characters>5496</Characters>
  <Lines>43</Lines>
  <Paragraphs>12</Paragraphs>
  <TotalTime>11</TotalTime>
  <ScaleCrop>false</ScaleCrop>
  <LinksUpToDate>false</LinksUpToDate>
  <CharactersWithSpaces>5535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橘子桔子橘</cp:lastModifiedBy>
  <dcterms:modified xsi:type="dcterms:W3CDTF">2025-03-14T01:19:30Z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1CEBE6B4A3FA4B9FAF88172365F51A77</vt:lpwstr>
  </property>
  <property fmtid="{D5CDD505-2E9C-101B-9397-08002B2CF9AE}" pid="4" name="KSOTemplateDocerSaveRecord">
    <vt:lpwstr>eyJoZGlkIjoiOTZjYjFlNjRhY2EzZjI4ZmJiNDMxZmUyN2NhNzA2NmUifQ==</vt:lpwstr>
  </property>
</Properties>
</file>