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C5313">
      <w:pPr>
        <w:pStyle w:val="7"/>
        <w:shd w:val="clear" w:color="auto" w:fill="FFFFFF"/>
        <w:wordWrap/>
        <w:spacing w:before="0" w:beforeAutospacing="0" w:after="0" w:afterAutospacing="0" w:line="435" w:lineRule="atLeast"/>
        <w:ind w:left="480"/>
        <w:jc w:val="center"/>
        <w:rPr>
          <w:rStyle w:val="11"/>
          <w:rFonts w:hint="eastAsia" w:ascii="等线" w:hAnsi="等线" w:eastAsia="等线"/>
          <w:bCs w:val="0"/>
          <w:color w:val="000000"/>
          <w:sz w:val="32"/>
          <w:szCs w:val="32"/>
        </w:rPr>
      </w:pPr>
      <w:r>
        <w:rPr>
          <w:rStyle w:val="11"/>
          <w:rFonts w:hint="eastAsia" w:ascii="等线" w:hAnsi="等线" w:eastAsia="等线"/>
          <w:bCs w:val="0"/>
          <w:color w:val="000000"/>
          <w:sz w:val="32"/>
          <w:szCs w:val="32"/>
        </w:rPr>
        <w:t>南京大学医学院附属苏州医院</w:t>
      </w:r>
    </w:p>
    <w:p w14:paraId="33325D68">
      <w:pPr>
        <w:pStyle w:val="7"/>
        <w:shd w:val="clear" w:color="auto" w:fill="FFFFFF"/>
        <w:wordWrap/>
        <w:spacing w:before="0" w:beforeAutospacing="0" w:after="0" w:afterAutospacing="0" w:line="435" w:lineRule="atLeast"/>
        <w:ind w:left="480"/>
        <w:jc w:val="center"/>
        <w:rPr>
          <w:rStyle w:val="11"/>
          <w:rFonts w:hint="eastAsia" w:ascii="等线" w:hAnsi="等线" w:eastAsia="等线"/>
          <w:bCs w:val="0"/>
          <w:color w:val="000000"/>
          <w:sz w:val="32"/>
          <w:szCs w:val="32"/>
        </w:rPr>
      </w:pPr>
      <w:r>
        <w:rPr>
          <w:rStyle w:val="11"/>
          <w:rFonts w:hint="eastAsia" w:ascii="等线" w:hAnsi="等线" w:eastAsia="等线"/>
          <w:bCs w:val="0"/>
          <w:color w:val="000000"/>
          <w:sz w:val="32"/>
          <w:szCs w:val="32"/>
        </w:rPr>
        <w:t>等级保护测评服务</w:t>
      </w:r>
      <w:r>
        <w:rPr>
          <w:rStyle w:val="11"/>
          <w:rFonts w:hint="eastAsia" w:ascii="等线" w:hAnsi="等线" w:eastAsia="等线"/>
          <w:bCs w:val="0"/>
          <w:color w:val="000000"/>
          <w:sz w:val="32"/>
          <w:szCs w:val="32"/>
          <w:lang w:val="en-US" w:eastAsia="zh-CN"/>
        </w:rPr>
        <w:t>项目</w:t>
      </w:r>
      <w:r>
        <w:rPr>
          <w:rStyle w:val="11"/>
          <w:rFonts w:hint="eastAsia" w:ascii="等线" w:hAnsi="等线" w:eastAsia="等线"/>
          <w:bCs w:val="0"/>
          <w:color w:val="000000"/>
          <w:sz w:val="32"/>
          <w:szCs w:val="32"/>
        </w:rPr>
        <w:t>需求</w:t>
      </w:r>
    </w:p>
    <w:p w14:paraId="11EAF58C">
      <w:pPr>
        <w:tabs>
          <w:tab w:val="left" w:pos="420"/>
          <w:tab w:val="left" w:pos="1260"/>
          <w:tab w:val="left" w:pos="1440"/>
        </w:tabs>
        <w:adjustRightInd w:val="0"/>
        <w:snapToGrid w:val="0"/>
        <w:spacing w:line="360" w:lineRule="auto"/>
        <w:ind w:left="0" w:firstLine="420" w:firstLineChars="200"/>
        <w:rPr>
          <w:rFonts w:hint="eastAsia" w:ascii="宋体" w:hAnsi="宋体"/>
          <w:sz w:val="21"/>
          <w:szCs w:val="21"/>
        </w:rPr>
      </w:pPr>
      <w:r>
        <w:rPr>
          <w:rFonts w:hint="eastAsia" w:ascii="宋体" w:hAnsi="宋体"/>
          <w:sz w:val="21"/>
          <w:szCs w:val="21"/>
        </w:rPr>
        <w:t>南京大学医学院附属苏州医院（苏州科技城医院）拟对</w:t>
      </w:r>
      <w:r>
        <w:rPr>
          <w:rFonts w:hint="eastAsia" w:ascii="宋体" w:hAnsi="宋体" w:cs="宋体"/>
          <w:sz w:val="21"/>
        </w:rPr>
        <w:t>等保测评项目</w:t>
      </w:r>
      <w:r>
        <w:rPr>
          <w:rFonts w:hint="eastAsia" w:ascii="宋体" w:hAnsi="宋体"/>
          <w:sz w:val="21"/>
          <w:szCs w:val="21"/>
        </w:rPr>
        <w:t>组织院内调研</w:t>
      </w:r>
      <w:r>
        <w:rPr>
          <w:rFonts w:ascii="宋体" w:hAnsi="宋体"/>
          <w:sz w:val="21"/>
          <w:szCs w:val="21"/>
        </w:rPr>
        <w:t>，现欢迎符合相关条件的</w:t>
      </w:r>
      <w:r>
        <w:rPr>
          <w:rFonts w:hint="eastAsia" w:ascii="宋体" w:hAnsi="宋体"/>
          <w:sz w:val="21"/>
          <w:szCs w:val="21"/>
        </w:rPr>
        <w:t>供应</w:t>
      </w:r>
      <w:r>
        <w:rPr>
          <w:rFonts w:ascii="宋体" w:hAnsi="宋体"/>
          <w:sz w:val="21"/>
          <w:szCs w:val="21"/>
        </w:rPr>
        <w:t>商参加</w:t>
      </w:r>
      <w:r>
        <w:rPr>
          <w:rFonts w:hint="eastAsia" w:ascii="宋体" w:hAnsi="宋体"/>
          <w:sz w:val="21"/>
          <w:szCs w:val="21"/>
        </w:rPr>
        <w:t>本次采购活动</w:t>
      </w:r>
      <w:r>
        <w:rPr>
          <w:rFonts w:ascii="宋体" w:hAnsi="宋体"/>
          <w:sz w:val="21"/>
          <w:szCs w:val="21"/>
        </w:rPr>
        <w:t>。</w:t>
      </w:r>
    </w:p>
    <w:p w14:paraId="07AF2F30">
      <w:pPr>
        <w:tabs>
          <w:tab w:val="left" w:pos="420"/>
          <w:tab w:val="left" w:pos="1260"/>
          <w:tab w:val="left" w:pos="1440"/>
        </w:tabs>
        <w:wordWrap/>
        <w:adjustRightInd w:val="0"/>
        <w:snapToGrid w:val="0"/>
        <w:spacing w:line="360" w:lineRule="auto"/>
        <w:ind w:left="0" w:firstLine="420" w:firstLineChars="200"/>
        <w:rPr>
          <w:rFonts w:hint="eastAsia" w:ascii="宋体" w:hAnsi="宋体" w:cs="宋体"/>
          <w:sz w:val="21"/>
        </w:rPr>
      </w:pPr>
      <w:r>
        <w:rPr>
          <w:rFonts w:hint="eastAsia" w:ascii="宋体" w:hAnsi="宋体" w:cs="宋体"/>
          <w:sz w:val="21"/>
        </w:rPr>
        <w:t>一、项目编号：</w:t>
      </w:r>
    </w:p>
    <w:p w14:paraId="66B1F19E">
      <w:pPr>
        <w:tabs>
          <w:tab w:val="left" w:pos="420"/>
          <w:tab w:val="left" w:pos="1260"/>
          <w:tab w:val="left" w:pos="1440"/>
        </w:tabs>
        <w:wordWrap/>
        <w:adjustRightInd w:val="0"/>
        <w:snapToGrid w:val="0"/>
        <w:spacing w:line="360" w:lineRule="auto"/>
        <w:ind w:left="0" w:firstLine="420" w:firstLineChars="200"/>
        <w:rPr>
          <w:rFonts w:hint="eastAsia" w:ascii="宋体" w:hAnsi="宋体" w:cs="宋体"/>
          <w:sz w:val="21"/>
        </w:rPr>
      </w:pPr>
      <w:r>
        <w:rPr>
          <w:rFonts w:hint="eastAsia" w:ascii="宋体" w:hAnsi="宋体" w:cs="宋体"/>
          <w:sz w:val="21"/>
        </w:rPr>
        <w:t>二、项目名称：苏州科技城医院等保测评</w:t>
      </w:r>
    </w:p>
    <w:p w14:paraId="0A3A87A2">
      <w:pPr>
        <w:tabs>
          <w:tab w:val="left" w:pos="420"/>
          <w:tab w:val="left" w:pos="1260"/>
          <w:tab w:val="left" w:pos="1440"/>
        </w:tabs>
        <w:wordWrap/>
        <w:adjustRightInd w:val="0"/>
        <w:snapToGrid w:val="0"/>
        <w:spacing w:line="360" w:lineRule="auto"/>
        <w:ind w:left="0" w:firstLine="420" w:firstLineChars="200"/>
        <w:rPr>
          <w:rFonts w:hint="eastAsia" w:ascii="宋体" w:hAnsi="宋体" w:cs="宋体"/>
          <w:color w:val="EE0000"/>
          <w:sz w:val="21"/>
        </w:rPr>
      </w:pPr>
      <w:r>
        <w:rPr>
          <w:rFonts w:hint="eastAsia" w:ascii="宋体" w:hAnsi="宋体" w:cs="宋体"/>
          <w:sz w:val="21"/>
        </w:rPr>
        <w:t>三、项目预算：</w:t>
      </w:r>
      <w:bookmarkStart w:id="1" w:name="_GoBack"/>
      <w:r>
        <w:rPr>
          <w:rFonts w:hint="eastAsia" w:ascii="宋体" w:hAnsi="宋体" w:cs="宋体"/>
          <w:color w:val="EE0000"/>
          <w:sz w:val="21"/>
        </w:rPr>
        <w:t>壹拾贰万捌仟元整（￥128</w:t>
      </w:r>
      <w:r>
        <w:rPr>
          <w:rFonts w:ascii="宋体" w:hAnsi="宋体" w:cs="宋体"/>
          <w:color w:val="EE0000"/>
          <w:sz w:val="21"/>
        </w:rPr>
        <w:t>000.00</w:t>
      </w:r>
      <w:r>
        <w:rPr>
          <w:rFonts w:hint="eastAsia" w:ascii="宋体" w:hAnsi="宋体" w:cs="宋体"/>
          <w:color w:val="EE0000"/>
          <w:sz w:val="21"/>
        </w:rPr>
        <w:t>元）</w:t>
      </w:r>
    </w:p>
    <w:p w14:paraId="361336C9">
      <w:pPr>
        <w:tabs>
          <w:tab w:val="left" w:pos="420"/>
          <w:tab w:val="left" w:pos="1260"/>
          <w:tab w:val="left" w:pos="1440"/>
        </w:tabs>
        <w:wordWrap/>
        <w:adjustRightInd w:val="0"/>
        <w:snapToGrid w:val="0"/>
        <w:spacing w:line="360" w:lineRule="auto"/>
        <w:ind w:left="0" w:firstLine="420" w:firstLineChars="200"/>
        <w:rPr>
          <w:rFonts w:hint="eastAsia" w:ascii="宋体" w:hAnsi="宋体" w:cs="宋体"/>
          <w:sz w:val="21"/>
        </w:rPr>
      </w:pPr>
      <w:r>
        <w:rPr>
          <w:rFonts w:hint="eastAsia" w:ascii="宋体" w:hAnsi="宋体" w:cs="宋体"/>
          <w:sz w:val="21"/>
        </w:rPr>
        <w:t>四、最高限价：</w:t>
      </w:r>
      <w:r>
        <w:rPr>
          <w:rFonts w:hint="eastAsia" w:ascii="宋体" w:hAnsi="宋体" w:cs="宋体"/>
          <w:color w:val="EE0000"/>
          <w:sz w:val="21"/>
        </w:rPr>
        <w:t>壹拾贰万捌仟元整（￥128</w:t>
      </w:r>
      <w:r>
        <w:rPr>
          <w:rFonts w:ascii="宋体" w:hAnsi="宋体" w:cs="宋体"/>
          <w:color w:val="EE0000"/>
          <w:sz w:val="21"/>
        </w:rPr>
        <w:t>000.00</w:t>
      </w:r>
      <w:r>
        <w:rPr>
          <w:rFonts w:hint="eastAsia" w:ascii="宋体" w:hAnsi="宋体" w:cs="宋体"/>
          <w:color w:val="EE0000"/>
          <w:sz w:val="21"/>
        </w:rPr>
        <w:t>元）</w:t>
      </w:r>
    </w:p>
    <w:bookmarkEnd w:id="1"/>
    <w:p w14:paraId="1A299224">
      <w:pPr>
        <w:tabs>
          <w:tab w:val="left" w:pos="420"/>
          <w:tab w:val="left" w:pos="1260"/>
          <w:tab w:val="left" w:pos="1440"/>
        </w:tabs>
        <w:wordWrap/>
        <w:adjustRightInd w:val="0"/>
        <w:snapToGrid w:val="0"/>
        <w:spacing w:line="360" w:lineRule="auto"/>
        <w:ind w:left="0" w:firstLine="420" w:firstLineChars="200"/>
        <w:rPr>
          <w:rFonts w:hint="eastAsia" w:ascii="宋体" w:hAnsi="宋体" w:cs="宋体"/>
          <w:sz w:val="21"/>
        </w:rPr>
      </w:pPr>
      <w:r>
        <w:rPr>
          <w:rFonts w:hint="eastAsia" w:ascii="宋体" w:hAnsi="宋体" w:cs="宋体"/>
          <w:sz w:val="21"/>
        </w:rPr>
        <w:t>五、合同履行期限: 自合同签订之日起一年</w:t>
      </w:r>
    </w:p>
    <w:p w14:paraId="47D82FBE">
      <w:pPr>
        <w:tabs>
          <w:tab w:val="left" w:pos="420"/>
          <w:tab w:val="left" w:pos="1260"/>
          <w:tab w:val="left" w:pos="1440"/>
        </w:tabs>
        <w:wordWrap/>
        <w:adjustRightInd w:val="0"/>
        <w:snapToGrid w:val="0"/>
        <w:spacing w:line="360" w:lineRule="auto"/>
        <w:ind w:left="0" w:firstLine="420" w:firstLineChars="200"/>
        <w:rPr>
          <w:rFonts w:hint="eastAsia" w:ascii="宋体" w:hAnsi="宋体"/>
          <w:sz w:val="21"/>
          <w:szCs w:val="21"/>
        </w:rPr>
      </w:pPr>
      <w:r>
        <w:rPr>
          <w:rFonts w:hint="eastAsia" w:ascii="宋体" w:hAnsi="宋体"/>
          <w:sz w:val="21"/>
          <w:szCs w:val="21"/>
        </w:rPr>
        <w:t>六、采购内容：</w:t>
      </w:r>
    </w:p>
    <w:p w14:paraId="4BAC5C7F">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（一）项目背景</w:t>
      </w:r>
    </w:p>
    <w:p w14:paraId="2E655120">
      <w:pPr>
        <w:wordWrap/>
        <w:spacing w:line="360" w:lineRule="auto"/>
        <w:ind w:left="0" w:firstLine="420" w:firstLineChars="200"/>
        <w:rPr>
          <w:rFonts w:hint="eastAsia" w:ascii="宋体" w:hAnsi="宋体" w:cs="宋体"/>
          <w:sz w:val="21"/>
          <w:szCs w:val="21"/>
        </w:rPr>
      </w:pPr>
      <w:r>
        <w:rPr>
          <w:rFonts w:ascii="宋体" w:hAnsi="宋体" w:cs="宋体"/>
          <w:sz w:val="21"/>
          <w:szCs w:val="21"/>
        </w:rPr>
        <w:t>根据公安部关于开展重要信息系统和重点网站安全执法检查的工作要求，为更好的贯彻落实中央关于网络安全的重要指示精神，有效应对当前苏州科技城医院网络安全面临的严峻威胁与挑战，全力做好苏州科技城医院重要信息系统网络安全保卫工作，亟需对苏州科技城医院的核心系统展开等保评测与安全服务工作，通过该评测工作及时发现系统安全隐患并迅速进行整改，从而全面提升苏州科技城医院重要信息系统的网络安全防护水平，保障系统的安全、高效、稳定运行</w:t>
      </w:r>
      <w:r>
        <w:rPr>
          <w:rFonts w:hint="eastAsia" w:ascii="宋体" w:hAnsi="宋体" w:cs="宋体"/>
          <w:sz w:val="21"/>
          <w:szCs w:val="21"/>
        </w:rPr>
        <w:t>。</w:t>
      </w:r>
    </w:p>
    <w:p w14:paraId="7FE5FC0F">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（二）</w:t>
      </w:r>
      <w:bookmarkStart w:id="0" w:name="_Hlk78448760"/>
      <w:r>
        <w:rPr>
          <w:rFonts w:hint="eastAsia" w:ascii="宋体" w:hAnsi="宋体" w:cs="宋体"/>
          <w:sz w:val="21"/>
          <w:szCs w:val="21"/>
        </w:rPr>
        <w:t>项目原则</w:t>
      </w:r>
    </w:p>
    <w:p w14:paraId="3503B792">
      <w:pPr>
        <w:wordWrap/>
        <w:spacing w:line="360" w:lineRule="auto"/>
        <w:ind w:left="0" w:firstLine="420" w:firstLineChars="200"/>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客观性和公正性原则：测评人员应当没有偏见，在最小主观判断情形下，按照测评双方相互认可的测评方</w:t>
      </w:r>
      <w:bookmarkEnd w:id="0"/>
      <w:r>
        <w:rPr>
          <w:rFonts w:hint="eastAsia" w:ascii="宋体" w:hAnsi="宋体" w:cs="宋体"/>
          <w:sz w:val="21"/>
          <w:szCs w:val="21"/>
        </w:rPr>
        <w:t>案开展。</w:t>
      </w:r>
    </w:p>
    <w:p w14:paraId="6AA63A12">
      <w:pPr>
        <w:wordWrap/>
        <w:spacing w:line="360" w:lineRule="auto"/>
        <w:ind w:left="0" w:firstLine="420" w:firstLineChars="20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保密原则：在测评过程中，需严格遵循保密原则，双方签订保密协议，对服务过程中涉及到的任何用户信息未经允许不向其他任何第三方泄漏，以及不得利用这些信息损害采购方利益。</w:t>
      </w:r>
    </w:p>
    <w:p w14:paraId="060EC32C">
      <w:pPr>
        <w:wordWrap/>
        <w:spacing w:line="360" w:lineRule="auto"/>
        <w:ind w:left="0" w:firstLine="420" w:firstLineChars="200"/>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最小影响原则：测评工作应该尽可能小地影响系统和网络的正常运行，不能对业务的正常运行产生明显的影响（包括系统性能明显下降、网络阻塞、服务中断等），如无法避免，则应做出说明。</w:t>
      </w:r>
    </w:p>
    <w:p w14:paraId="7F622168">
      <w:pPr>
        <w:wordWrap/>
        <w:spacing w:line="360" w:lineRule="auto"/>
        <w:ind w:left="0" w:firstLine="420" w:firstLineChars="200"/>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规范性原则：信息安全等级保护测评服务的实施必须由专业的测评服务人员依照规范的操作流程进行，对操作过程和结果要有相应的记录，并提供完整的服务报告。</w:t>
      </w:r>
    </w:p>
    <w:p w14:paraId="72A89C59">
      <w:pPr>
        <w:wordWrap/>
        <w:spacing w:line="360" w:lineRule="auto"/>
        <w:ind w:left="0" w:firstLine="420" w:firstLineChars="200"/>
        <w:rPr>
          <w:rFonts w:hint="eastAsia" w:ascii="宋体" w:hAnsi="宋体" w:cs="宋体"/>
          <w:sz w:val="21"/>
          <w:szCs w:val="21"/>
        </w:rPr>
      </w:pPr>
      <w:r>
        <w:rPr>
          <w:rFonts w:ascii="宋体" w:hAnsi="宋体" w:cs="宋体"/>
          <w:sz w:val="21"/>
          <w:szCs w:val="21"/>
        </w:rPr>
        <w:t>5.</w:t>
      </w:r>
      <w:r>
        <w:rPr>
          <w:rFonts w:hint="eastAsia" w:ascii="宋体" w:hAnsi="宋体" w:cs="宋体"/>
          <w:sz w:val="21"/>
          <w:szCs w:val="21"/>
        </w:rPr>
        <w:t>质量保障原则：在整个测评过程中，须特别重视项目质量管理。项目的实施将严格按照项目实施方案和流程进行，并由项目协调小组从中监督，控制项目的进度和质量。</w:t>
      </w:r>
    </w:p>
    <w:p w14:paraId="4982EF0D">
      <w:pPr>
        <w:wordWrap/>
        <w:spacing w:line="360" w:lineRule="auto"/>
        <w:ind w:left="0" w:firstLine="420" w:firstLineChars="200"/>
        <w:rPr>
          <w:rFonts w:hint="eastAsia" w:ascii="宋体" w:hAnsi="宋体" w:cs="宋体"/>
          <w:sz w:val="21"/>
          <w:szCs w:val="21"/>
        </w:rPr>
      </w:pPr>
      <w:r>
        <w:rPr>
          <w:rFonts w:ascii="宋体" w:hAnsi="宋体" w:cs="宋体"/>
          <w:sz w:val="21"/>
          <w:szCs w:val="21"/>
        </w:rPr>
        <w:t>6.</w:t>
      </w:r>
      <w:r>
        <w:rPr>
          <w:rFonts w:hint="eastAsia" w:ascii="宋体" w:hAnsi="宋体" w:cs="宋体"/>
          <w:sz w:val="21"/>
          <w:szCs w:val="21"/>
        </w:rPr>
        <w:t>系统安全原则：项目工作人员需遵守等保检测规定，采用符合标准的检测工具和检测方法实施检测，如因违规操作造成对检测系统的破坏，则应承担相应责任。</w:t>
      </w:r>
    </w:p>
    <w:p w14:paraId="3F19B524">
      <w:pPr>
        <w:wordWrap/>
        <w:spacing w:line="360" w:lineRule="auto"/>
        <w:ind w:left="0" w:firstLine="420" w:firstLineChars="200"/>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测评师规范原则：检测实施方工作人员必须通过公安部的等级保护等级测评师认证，持证上岗，经项目委托方确认资格后方可实施检测。</w:t>
      </w:r>
    </w:p>
    <w:p w14:paraId="584703BD">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（三）项目依据</w:t>
      </w:r>
    </w:p>
    <w:p w14:paraId="37674573">
      <w:pPr>
        <w:wordWrap/>
        <w:spacing w:line="360" w:lineRule="auto"/>
        <w:ind w:left="0"/>
        <w:jc w:val="left"/>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中华人民共和国网络安全法</w:t>
      </w:r>
      <w:r>
        <w:rPr>
          <w:rFonts w:hint="eastAsia" w:ascii="宋体" w:hAnsi="宋体" w:cs="宋体"/>
          <w:sz w:val="21"/>
          <w:szCs w:val="21"/>
        </w:rPr>
        <w:t>》</w:t>
      </w:r>
    </w:p>
    <w:p w14:paraId="0FE013D0">
      <w:pPr>
        <w:wordWrap/>
        <w:spacing w:line="360" w:lineRule="auto"/>
        <w:ind w:left="0"/>
        <w:jc w:val="left"/>
        <w:rPr>
          <w:rFonts w:hint="eastAsia" w:ascii="宋体" w:hAnsi="宋体" w:cs="宋体"/>
          <w:sz w:val="21"/>
          <w:szCs w:val="21"/>
        </w:rPr>
      </w:pPr>
      <w:r>
        <w:rPr>
          <w:rFonts w:hint="eastAsia" w:ascii="宋体" w:hAnsi="宋体" w:cs="宋体"/>
          <w:sz w:val="21"/>
          <w:szCs w:val="21"/>
        </w:rPr>
        <w:t>《关于加强党政机关计算机信息系统安全和保密管理的若干规定》</w:t>
      </w:r>
    </w:p>
    <w:p w14:paraId="2264CD88">
      <w:pPr>
        <w:wordWrap/>
        <w:spacing w:line="360" w:lineRule="auto"/>
        <w:ind w:left="0"/>
        <w:jc w:val="left"/>
        <w:rPr>
          <w:rFonts w:hint="eastAsia" w:ascii="宋体" w:hAnsi="宋体" w:cs="宋体"/>
          <w:sz w:val="21"/>
          <w:szCs w:val="21"/>
        </w:rPr>
      </w:pPr>
      <w:r>
        <w:rPr>
          <w:rFonts w:hint="eastAsia" w:ascii="宋体" w:hAnsi="宋体" w:cs="宋体"/>
          <w:sz w:val="21"/>
          <w:szCs w:val="21"/>
        </w:rPr>
        <w:t>《计算机信息系统安全保护等级划分准则》（GB 17859-1999）</w:t>
      </w:r>
    </w:p>
    <w:p w14:paraId="102DB260">
      <w:pPr>
        <w:wordWrap/>
        <w:spacing w:line="360" w:lineRule="auto"/>
        <w:ind w:left="0"/>
        <w:jc w:val="left"/>
        <w:rPr>
          <w:rFonts w:hint="eastAsia" w:ascii="宋体" w:hAnsi="宋体" w:cs="宋体"/>
          <w:sz w:val="21"/>
          <w:szCs w:val="21"/>
        </w:rPr>
      </w:pPr>
      <w:r>
        <w:rPr>
          <w:rFonts w:hint="eastAsia" w:ascii="宋体" w:hAnsi="宋体" w:cs="宋体"/>
          <w:sz w:val="21"/>
          <w:szCs w:val="21"/>
        </w:rPr>
        <w:t>《关于信息安全等级保护工作的实施意见》(公通字[2004]66号)</w:t>
      </w:r>
    </w:p>
    <w:p w14:paraId="4420C9CB">
      <w:pPr>
        <w:wordWrap/>
        <w:spacing w:line="360" w:lineRule="auto"/>
        <w:ind w:left="0"/>
        <w:jc w:val="left"/>
        <w:rPr>
          <w:rFonts w:hint="eastAsia" w:ascii="宋体" w:hAnsi="宋体" w:cs="宋体"/>
          <w:sz w:val="21"/>
          <w:szCs w:val="21"/>
        </w:rPr>
      </w:pPr>
      <w:r>
        <w:rPr>
          <w:rFonts w:hint="eastAsia" w:ascii="宋体" w:hAnsi="宋体" w:cs="宋体"/>
          <w:sz w:val="21"/>
          <w:szCs w:val="21"/>
        </w:rPr>
        <w:t>《信息安全等级保护管理办法》(公通字[2007]43号)</w:t>
      </w:r>
    </w:p>
    <w:p w14:paraId="38EA3E13">
      <w:pPr>
        <w:wordWrap/>
        <w:spacing w:line="360" w:lineRule="auto"/>
        <w:ind w:left="0"/>
        <w:jc w:val="left"/>
        <w:rPr>
          <w:rFonts w:hint="eastAsia" w:ascii="宋体" w:hAnsi="宋体" w:cs="宋体"/>
          <w:sz w:val="21"/>
          <w:szCs w:val="21"/>
        </w:rPr>
      </w:pPr>
      <w:r>
        <w:rPr>
          <w:rFonts w:hint="eastAsia" w:ascii="宋体" w:hAnsi="宋体" w:cs="宋体"/>
          <w:sz w:val="21"/>
          <w:szCs w:val="21"/>
        </w:rPr>
        <w:t>《信息系统安全保护等级定级指南》（GB/T 22240-2008）</w:t>
      </w:r>
    </w:p>
    <w:p w14:paraId="0D5C23C4">
      <w:pPr>
        <w:wordWrap/>
        <w:spacing w:line="360" w:lineRule="auto"/>
        <w:ind w:left="0"/>
        <w:jc w:val="left"/>
        <w:rPr>
          <w:rFonts w:hint="eastAsia" w:ascii="宋体" w:hAnsi="宋体" w:cs="宋体"/>
          <w:sz w:val="21"/>
          <w:szCs w:val="21"/>
        </w:rPr>
      </w:pPr>
      <w:r>
        <w:rPr>
          <w:rFonts w:hint="eastAsia" w:ascii="宋体" w:hAnsi="宋体" w:cs="宋体"/>
          <w:sz w:val="21"/>
          <w:szCs w:val="21"/>
        </w:rPr>
        <w:t>《网络安全等级保护基本要求》（GB/T 22239-2019）</w:t>
      </w:r>
    </w:p>
    <w:p w14:paraId="22D4C6E9">
      <w:pPr>
        <w:wordWrap/>
        <w:spacing w:line="360" w:lineRule="auto"/>
        <w:ind w:left="0"/>
        <w:jc w:val="left"/>
        <w:rPr>
          <w:rFonts w:hint="eastAsia" w:ascii="宋体" w:hAnsi="宋体" w:cs="宋体"/>
          <w:sz w:val="21"/>
          <w:szCs w:val="21"/>
        </w:rPr>
      </w:pPr>
      <w:r>
        <w:rPr>
          <w:rFonts w:hint="eastAsia" w:ascii="宋体" w:hAnsi="宋体" w:cs="宋体"/>
          <w:sz w:val="21"/>
          <w:szCs w:val="21"/>
        </w:rPr>
        <w:t>《网络安全等级保护安全设计技术要求》（GB/T 25070-2019）</w:t>
      </w:r>
    </w:p>
    <w:p w14:paraId="57DF8EAB">
      <w:pPr>
        <w:wordWrap/>
        <w:spacing w:line="360" w:lineRule="auto"/>
        <w:ind w:left="0"/>
        <w:jc w:val="left"/>
        <w:rPr>
          <w:rFonts w:hint="eastAsia" w:ascii="宋体" w:hAnsi="宋体" w:cs="宋体"/>
          <w:sz w:val="21"/>
          <w:szCs w:val="21"/>
        </w:rPr>
      </w:pPr>
      <w:r>
        <w:rPr>
          <w:rFonts w:hint="eastAsia" w:ascii="宋体" w:hAnsi="宋体" w:cs="宋体"/>
          <w:sz w:val="21"/>
          <w:szCs w:val="21"/>
        </w:rPr>
        <w:t>《网络安全等级保护测评要求》（GB/T 28448-2019）</w:t>
      </w:r>
    </w:p>
    <w:p w14:paraId="36710E8A">
      <w:pPr>
        <w:wordWrap/>
        <w:spacing w:line="360" w:lineRule="auto"/>
        <w:ind w:left="0"/>
        <w:jc w:val="left"/>
        <w:rPr>
          <w:rFonts w:hint="eastAsia" w:ascii="宋体" w:hAnsi="宋体" w:cs="宋体"/>
          <w:sz w:val="21"/>
          <w:szCs w:val="21"/>
        </w:rPr>
      </w:pPr>
      <w:r>
        <w:rPr>
          <w:rFonts w:hint="eastAsia" w:ascii="宋体" w:hAnsi="宋体" w:cs="宋体"/>
          <w:sz w:val="21"/>
          <w:szCs w:val="21"/>
        </w:rPr>
        <w:t>《网络安全等级保护测评过程指南》（GB/T 28449-2018）</w:t>
      </w:r>
    </w:p>
    <w:p w14:paraId="2A47847F">
      <w:pPr>
        <w:wordWrap/>
        <w:spacing w:line="360" w:lineRule="auto"/>
        <w:ind w:left="0"/>
        <w:jc w:val="left"/>
        <w:rPr>
          <w:rFonts w:hint="eastAsia" w:ascii="宋体" w:hAnsi="宋体" w:cs="宋体"/>
          <w:sz w:val="21"/>
          <w:szCs w:val="21"/>
        </w:rPr>
      </w:pPr>
      <w:r>
        <w:rPr>
          <w:rFonts w:hint="eastAsia" w:ascii="宋体" w:hAnsi="宋体" w:cs="宋体"/>
          <w:sz w:val="21"/>
          <w:szCs w:val="21"/>
        </w:rPr>
        <w:t>《信息系统安全管理测评》（GA/T 713-2007）</w:t>
      </w:r>
    </w:p>
    <w:p w14:paraId="14B2D71A">
      <w:pPr>
        <w:wordWrap/>
        <w:spacing w:line="360" w:lineRule="auto"/>
        <w:ind w:left="0"/>
        <w:jc w:val="left"/>
        <w:rPr>
          <w:rFonts w:hint="eastAsia" w:ascii="宋体" w:hAnsi="宋体" w:cs="宋体"/>
          <w:sz w:val="21"/>
          <w:szCs w:val="21"/>
        </w:rPr>
      </w:pPr>
      <w:r>
        <w:rPr>
          <w:rFonts w:hint="eastAsia" w:ascii="宋体" w:hAnsi="宋体" w:cs="宋体"/>
          <w:sz w:val="21"/>
          <w:szCs w:val="21"/>
        </w:rPr>
        <w:t>《信息安全等级保护等级测评实施细则》</w:t>
      </w:r>
    </w:p>
    <w:p w14:paraId="2BF2C78E">
      <w:pPr>
        <w:wordWrap/>
        <w:spacing w:line="360" w:lineRule="auto"/>
        <w:ind w:left="0"/>
        <w:jc w:val="left"/>
        <w:rPr>
          <w:rFonts w:hint="eastAsia" w:ascii="宋体" w:hAnsi="宋体" w:cs="宋体"/>
          <w:sz w:val="21"/>
          <w:szCs w:val="21"/>
        </w:rPr>
      </w:pPr>
      <w:r>
        <w:rPr>
          <w:rFonts w:hint="eastAsia" w:ascii="宋体" w:hAnsi="宋体" w:cs="宋体"/>
          <w:sz w:val="21"/>
          <w:szCs w:val="21"/>
        </w:rPr>
        <w:t>《信息安全风险评估规范》（GB/T 20984-2007）</w:t>
      </w:r>
    </w:p>
    <w:p w14:paraId="1BDE5486">
      <w:pPr>
        <w:wordWrap/>
        <w:spacing w:line="360" w:lineRule="auto"/>
        <w:ind w:left="0"/>
        <w:jc w:val="left"/>
        <w:rPr>
          <w:rFonts w:hint="eastAsia" w:ascii="宋体" w:hAnsi="宋体" w:cs="宋体"/>
          <w:sz w:val="21"/>
          <w:szCs w:val="21"/>
        </w:rPr>
      </w:pPr>
      <w:r>
        <w:rPr>
          <w:rFonts w:hint="eastAsia" w:ascii="宋体" w:hAnsi="宋体" w:cs="宋体"/>
          <w:sz w:val="21"/>
          <w:szCs w:val="21"/>
        </w:rPr>
        <w:t>《信息安全风险管理指南》（GB/Z 24364-2009）</w:t>
      </w:r>
    </w:p>
    <w:p w14:paraId="3B5D6C86">
      <w:pPr>
        <w:wordWrap/>
        <w:spacing w:line="360" w:lineRule="auto"/>
        <w:ind w:left="0"/>
        <w:jc w:val="left"/>
        <w:rPr>
          <w:rFonts w:hint="eastAsia" w:ascii="宋体" w:hAnsi="宋体" w:cs="宋体"/>
          <w:sz w:val="21"/>
          <w:szCs w:val="21"/>
        </w:rPr>
      </w:pPr>
      <w:r>
        <w:rPr>
          <w:rFonts w:hint="eastAsia" w:ascii="宋体" w:hAnsi="宋体" w:cs="宋体"/>
          <w:sz w:val="21"/>
          <w:szCs w:val="21"/>
        </w:rPr>
        <w:t>《信息安全管理体系要求》（GB/T 22080-2008）</w:t>
      </w:r>
    </w:p>
    <w:p w14:paraId="0A193457">
      <w:pPr>
        <w:wordWrap/>
        <w:spacing w:line="360" w:lineRule="auto"/>
        <w:ind w:left="0"/>
        <w:jc w:val="left"/>
        <w:rPr>
          <w:rFonts w:hint="eastAsia" w:ascii="宋体" w:hAnsi="宋体" w:cs="宋体"/>
          <w:sz w:val="21"/>
          <w:szCs w:val="21"/>
        </w:rPr>
      </w:pPr>
      <w:r>
        <w:rPr>
          <w:rFonts w:hint="eastAsia" w:ascii="宋体" w:hAnsi="宋体" w:cs="宋体"/>
          <w:sz w:val="21"/>
          <w:szCs w:val="21"/>
        </w:rPr>
        <w:t>《信息安全管理实用规则》（GB/T 22081-2008）</w:t>
      </w:r>
    </w:p>
    <w:p w14:paraId="03F9910D">
      <w:pPr>
        <w:wordWrap/>
        <w:spacing w:line="360" w:lineRule="auto"/>
        <w:ind w:left="0"/>
        <w:jc w:val="left"/>
        <w:rPr>
          <w:rFonts w:hint="eastAsia" w:ascii="宋体" w:hAnsi="宋体" w:cs="宋体"/>
          <w:sz w:val="21"/>
          <w:szCs w:val="21"/>
        </w:rPr>
      </w:pPr>
      <w:r>
        <w:rPr>
          <w:rFonts w:hint="eastAsia" w:ascii="宋体" w:hAnsi="宋体" w:cs="宋体"/>
          <w:sz w:val="21"/>
          <w:szCs w:val="21"/>
        </w:rPr>
        <w:t>《信息系统安全管理要求》（GB/T 20269-2006）</w:t>
      </w:r>
    </w:p>
    <w:p w14:paraId="183E4FFB">
      <w:pPr>
        <w:wordWrap/>
        <w:spacing w:line="360" w:lineRule="auto"/>
        <w:ind w:left="0"/>
        <w:jc w:val="left"/>
        <w:rPr>
          <w:rFonts w:hint="eastAsia" w:ascii="宋体" w:hAnsi="宋体" w:cs="宋体"/>
          <w:sz w:val="21"/>
          <w:szCs w:val="21"/>
        </w:rPr>
      </w:pPr>
      <w:r>
        <w:rPr>
          <w:rFonts w:hint="eastAsia" w:ascii="宋体" w:hAnsi="宋体" w:cs="宋体"/>
          <w:sz w:val="21"/>
          <w:szCs w:val="21"/>
        </w:rPr>
        <w:t>《信息安全事件分类分级指南》（GB/Z 20986-2007）</w:t>
      </w:r>
    </w:p>
    <w:p w14:paraId="298F02C3">
      <w:pPr>
        <w:wordWrap/>
        <w:spacing w:line="360" w:lineRule="auto"/>
        <w:ind w:left="0"/>
        <w:jc w:val="left"/>
        <w:rPr>
          <w:rFonts w:hint="eastAsia" w:ascii="宋体" w:hAnsi="宋体" w:cs="宋体"/>
          <w:sz w:val="21"/>
          <w:szCs w:val="21"/>
        </w:rPr>
      </w:pPr>
      <w:r>
        <w:rPr>
          <w:rFonts w:hint="eastAsia" w:ascii="宋体" w:hAnsi="宋体" w:cs="宋体"/>
          <w:sz w:val="21"/>
          <w:szCs w:val="21"/>
        </w:rPr>
        <w:t>《信息安全事件管理指南》（GB/Z 20985-2007）</w:t>
      </w:r>
    </w:p>
    <w:p w14:paraId="6E69BD9E">
      <w:pPr>
        <w:wordWrap/>
        <w:spacing w:line="360" w:lineRule="auto"/>
        <w:ind w:left="0"/>
        <w:jc w:val="left"/>
        <w:rPr>
          <w:rFonts w:hint="eastAsia" w:ascii="宋体" w:hAnsi="宋体" w:cs="宋体"/>
          <w:sz w:val="21"/>
          <w:szCs w:val="21"/>
        </w:rPr>
      </w:pPr>
      <w:r>
        <w:rPr>
          <w:rFonts w:hint="eastAsia" w:ascii="宋体" w:hAnsi="宋体" w:cs="宋体"/>
          <w:sz w:val="21"/>
          <w:szCs w:val="21"/>
        </w:rPr>
        <w:t>《信息系统灾难恢复规范》（GB/T 20988-2007）</w:t>
      </w:r>
    </w:p>
    <w:p w14:paraId="699C3AE0">
      <w:pPr>
        <w:wordWrap/>
        <w:spacing w:line="360" w:lineRule="auto"/>
        <w:ind w:left="0"/>
        <w:jc w:val="left"/>
        <w:rPr>
          <w:rFonts w:hint="eastAsia" w:ascii="宋体" w:hAnsi="宋体" w:cs="宋体"/>
          <w:sz w:val="21"/>
          <w:szCs w:val="21"/>
        </w:rPr>
      </w:pPr>
      <w:r>
        <w:rPr>
          <w:rFonts w:hint="eastAsia" w:ascii="宋体" w:hAnsi="宋体" w:cs="宋体"/>
          <w:sz w:val="21"/>
          <w:szCs w:val="21"/>
        </w:rPr>
        <w:t>《信息安全应急响应计划规范》（GB/T 24363-2009）</w:t>
      </w:r>
    </w:p>
    <w:p w14:paraId="298B938B">
      <w:pPr>
        <w:wordWrap/>
        <w:spacing w:line="360" w:lineRule="auto"/>
        <w:ind w:left="0" w:firstLine="210" w:firstLineChars="100"/>
        <w:outlineLvl w:val="1"/>
        <w:rPr>
          <w:rFonts w:hint="eastAsia" w:ascii="宋体" w:hAnsi="宋体" w:cs="宋体"/>
          <w:sz w:val="21"/>
          <w:szCs w:val="21"/>
        </w:rPr>
      </w:pPr>
      <w:r>
        <w:rPr>
          <w:rFonts w:hint="eastAsia" w:ascii="宋体" w:hAnsi="宋体" w:cs="宋体"/>
          <w:sz w:val="21"/>
          <w:szCs w:val="21"/>
        </w:rPr>
        <w:t>（四）测评系统级别</w:t>
      </w:r>
    </w:p>
    <w:p w14:paraId="69D4500A">
      <w:pPr>
        <w:pStyle w:val="4"/>
      </w:pPr>
    </w:p>
    <w:p w14:paraId="1BDA4441">
      <w:pPr>
        <w:pStyle w:val="3"/>
        <w:ind w:firstLine="400"/>
      </w:pPr>
    </w:p>
    <w:p w14:paraId="0856B516">
      <w:pPr>
        <w:pStyle w:val="3"/>
        <w:ind w:firstLine="400"/>
      </w:pPr>
    </w:p>
    <w:p w14:paraId="6D1B4F21">
      <w:pPr>
        <w:pStyle w:val="3"/>
        <w:ind w:firstLine="400"/>
      </w:pPr>
    </w:p>
    <w:p w14:paraId="5F0CC8BA">
      <w:pPr>
        <w:pStyle w:val="3"/>
        <w:ind w:firstLine="400"/>
      </w:pPr>
    </w:p>
    <w:tbl>
      <w:tblPr>
        <w:tblStyle w:val="8"/>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3950"/>
        <w:gridCol w:w="1991"/>
      </w:tblGrid>
      <w:tr w14:paraId="4C31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14:paraId="6AA8121C">
            <w:pPr>
              <w:widowControl w:val="0"/>
              <w:wordWrap/>
              <w:spacing w:line="360" w:lineRule="auto"/>
              <w:ind w:left="0"/>
              <w:jc w:val="center"/>
              <w:rPr>
                <w:rFonts w:hint="eastAsia" w:ascii="宋体" w:hAnsi="宋体"/>
                <w:b/>
                <w:bCs/>
                <w:kern w:val="2"/>
                <w:sz w:val="21"/>
                <w:szCs w:val="21"/>
              </w:rPr>
            </w:pPr>
            <w:r>
              <w:rPr>
                <w:rFonts w:hint="eastAsia" w:ascii="宋体" w:hAnsi="宋体"/>
                <w:b/>
                <w:bCs/>
                <w:kern w:val="2"/>
                <w:sz w:val="21"/>
                <w:szCs w:val="21"/>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4CCBBB79">
            <w:pPr>
              <w:widowControl w:val="0"/>
              <w:wordWrap/>
              <w:spacing w:line="360" w:lineRule="auto"/>
              <w:ind w:left="0"/>
              <w:jc w:val="center"/>
              <w:rPr>
                <w:rFonts w:hint="eastAsia" w:ascii="宋体" w:hAnsi="宋体"/>
                <w:b/>
                <w:bCs/>
                <w:kern w:val="2"/>
                <w:sz w:val="21"/>
                <w:szCs w:val="21"/>
              </w:rPr>
            </w:pPr>
            <w:r>
              <w:rPr>
                <w:rFonts w:hint="eastAsia" w:ascii="宋体" w:hAnsi="宋体"/>
                <w:b/>
                <w:bCs/>
                <w:kern w:val="2"/>
                <w:sz w:val="21"/>
                <w:szCs w:val="21"/>
              </w:rPr>
              <w:t>系统名称</w:t>
            </w:r>
          </w:p>
        </w:tc>
        <w:tc>
          <w:tcPr>
            <w:tcW w:w="1991" w:type="dxa"/>
            <w:tcBorders>
              <w:top w:val="single" w:color="auto" w:sz="4" w:space="0"/>
              <w:left w:val="single" w:color="auto" w:sz="4" w:space="0"/>
              <w:bottom w:val="single" w:color="auto" w:sz="4" w:space="0"/>
              <w:right w:val="single" w:color="auto" w:sz="4" w:space="0"/>
            </w:tcBorders>
            <w:vAlign w:val="center"/>
          </w:tcPr>
          <w:p w14:paraId="3EE40219">
            <w:pPr>
              <w:widowControl w:val="0"/>
              <w:wordWrap/>
              <w:spacing w:line="360" w:lineRule="auto"/>
              <w:ind w:left="0"/>
              <w:jc w:val="center"/>
              <w:rPr>
                <w:rFonts w:hint="eastAsia" w:ascii="宋体" w:hAnsi="宋体"/>
                <w:b/>
                <w:bCs/>
                <w:kern w:val="2"/>
                <w:sz w:val="21"/>
                <w:szCs w:val="21"/>
              </w:rPr>
            </w:pPr>
            <w:r>
              <w:rPr>
                <w:rFonts w:hint="eastAsia" w:ascii="宋体" w:hAnsi="宋体"/>
                <w:b/>
                <w:bCs/>
                <w:kern w:val="2"/>
                <w:sz w:val="21"/>
                <w:szCs w:val="21"/>
              </w:rPr>
              <w:t>等保测评级别</w:t>
            </w:r>
          </w:p>
        </w:tc>
      </w:tr>
      <w:tr w14:paraId="4DAD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14:paraId="1CDF270B">
            <w:pPr>
              <w:widowControl w:val="0"/>
              <w:wordWrap/>
              <w:spacing w:line="360" w:lineRule="auto"/>
              <w:ind w:left="0"/>
              <w:jc w:val="center"/>
              <w:rPr>
                <w:rFonts w:hint="eastAsia" w:ascii="宋体" w:hAnsi="宋体"/>
                <w:kern w:val="2"/>
                <w:sz w:val="21"/>
                <w:szCs w:val="21"/>
              </w:rPr>
            </w:pPr>
            <w:r>
              <w:rPr>
                <w:rFonts w:hint="eastAsia" w:ascii="宋体" w:hAnsi="宋体"/>
                <w:kern w:val="2"/>
                <w:sz w:val="21"/>
                <w:szCs w:val="21"/>
              </w:rPr>
              <w:t>1</w:t>
            </w:r>
          </w:p>
        </w:tc>
        <w:tc>
          <w:tcPr>
            <w:tcW w:w="3950" w:type="dxa"/>
            <w:tcBorders>
              <w:top w:val="single" w:color="auto" w:sz="4" w:space="0"/>
              <w:left w:val="single" w:color="auto" w:sz="4" w:space="0"/>
              <w:bottom w:val="single" w:color="auto" w:sz="4" w:space="0"/>
              <w:right w:val="single" w:color="auto" w:sz="4" w:space="0"/>
            </w:tcBorders>
            <w:vAlign w:val="center"/>
          </w:tcPr>
          <w:p w14:paraId="37E9A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75" w:right="-75"/>
              <w:jc w:val="center"/>
              <w:rPr>
                <w:rFonts w:hint="eastAsia" w:ascii="宋体" w:hAnsi="宋体"/>
                <w:sz w:val="21"/>
                <w:szCs w:val="21"/>
              </w:rPr>
            </w:pPr>
            <w:r>
              <w:rPr>
                <w:rFonts w:hint="eastAsia" w:ascii="宋体" w:hAnsi="宋体"/>
                <w:sz w:val="21"/>
                <w:szCs w:val="21"/>
              </w:rPr>
              <w:t>光大互联网医院及互联网护理系统</w:t>
            </w:r>
          </w:p>
        </w:tc>
        <w:tc>
          <w:tcPr>
            <w:tcW w:w="1991" w:type="dxa"/>
            <w:tcBorders>
              <w:top w:val="single" w:color="auto" w:sz="4" w:space="0"/>
              <w:left w:val="single" w:color="auto" w:sz="4" w:space="0"/>
              <w:bottom w:val="single" w:color="auto" w:sz="4" w:space="0"/>
              <w:right w:val="single" w:color="auto" w:sz="4" w:space="0"/>
            </w:tcBorders>
            <w:vAlign w:val="center"/>
          </w:tcPr>
          <w:p w14:paraId="18C4B701">
            <w:pPr>
              <w:widowControl w:val="0"/>
              <w:wordWrap/>
              <w:spacing w:line="360" w:lineRule="auto"/>
              <w:ind w:left="0"/>
              <w:jc w:val="center"/>
              <w:rPr>
                <w:rFonts w:hint="eastAsia" w:ascii="宋体" w:hAnsi="宋体"/>
                <w:kern w:val="2"/>
                <w:sz w:val="21"/>
                <w:szCs w:val="21"/>
              </w:rPr>
            </w:pPr>
            <w:r>
              <w:rPr>
                <w:rFonts w:hint="eastAsia" w:ascii="宋体" w:hAnsi="宋体"/>
                <w:kern w:val="2"/>
                <w:sz w:val="21"/>
                <w:szCs w:val="21"/>
              </w:rPr>
              <w:t>三级</w:t>
            </w:r>
          </w:p>
        </w:tc>
      </w:tr>
      <w:tr w14:paraId="629A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14:paraId="110C2635">
            <w:pPr>
              <w:widowControl w:val="0"/>
              <w:wordWrap/>
              <w:spacing w:line="360" w:lineRule="auto"/>
              <w:ind w:left="0"/>
              <w:jc w:val="center"/>
              <w:rPr>
                <w:rFonts w:hint="eastAsia" w:ascii="宋体" w:hAnsi="宋体"/>
                <w:kern w:val="2"/>
                <w:sz w:val="21"/>
                <w:szCs w:val="21"/>
              </w:rPr>
            </w:pPr>
            <w:r>
              <w:rPr>
                <w:rFonts w:hint="eastAsia" w:ascii="宋体" w:hAnsi="宋体"/>
                <w:kern w:val="2"/>
                <w:sz w:val="21"/>
                <w:szCs w:val="21"/>
              </w:rPr>
              <w:t>2</w:t>
            </w:r>
          </w:p>
        </w:tc>
        <w:tc>
          <w:tcPr>
            <w:tcW w:w="3950" w:type="dxa"/>
            <w:tcBorders>
              <w:top w:val="single" w:color="auto" w:sz="4" w:space="0"/>
              <w:left w:val="single" w:color="auto" w:sz="4" w:space="0"/>
              <w:bottom w:val="single" w:color="auto" w:sz="4" w:space="0"/>
              <w:right w:val="single" w:color="auto" w:sz="4" w:space="0"/>
            </w:tcBorders>
            <w:vAlign w:val="center"/>
          </w:tcPr>
          <w:p w14:paraId="1A22773A">
            <w:pPr>
              <w:widowControl w:val="0"/>
              <w:wordWrap/>
              <w:spacing w:line="360" w:lineRule="auto"/>
              <w:ind w:left="0"/>
              <w:jc w:val="center"/>
              <w:rPr>
                <w:rFonts w:hint="eastAsia" w:ascii="宋体" w:hAnsi="宋体"/>
                <w:kern w:val="2"/>
                <w:sz w:val="21"/>
                <w:szCs w:val="21"/>
              </w:rPr>
            </w:pPr>
            <w:r>
              <w:rPr>
                <w:rFonts w:hint="eastAsia" w:ascii="宋体" w:hAnsi="宋体"/>
                <w:kern w:val="2"/>
                <w:sz w:val="21"/>
                <w:szCs w:val="21"/>
              </w:rPr>
              <w:t>集成平台</w:t>
            </w:r>
          </w:p>
        </w:tc>
        <w:tc>
          <w:tcPr>
            <w:tcW w:w="1991" w:type="dxa"/>
            <w:tcBorders>
              <w:top w:val="single" w:color="auto" w:sz="4" w:space="0"/>
              <w:left w:val="single" w:color="auto" w:sz="4" w:space="0"/>
              <w:right w:val="single" w:color="auto" w:sz="4" w:space="0"/>
            </w:tcBorders>
            <w:vAlign w:val="center"/>
          </w:tcPr>
          <w:p w14:paraId="3744B9D9">
            <w:pPr>
              <w:widowControl w:val="0"/>
              <w:wordWrap/>
              <w:spacing w:line="360" w:lineRule="auto"/>
              <w:ind w:left="0"/>
              <w:jc w:val="center"/>
              <w:rPr>
                <w:rFonts w:hint="eastAsia" w:ascii="宋体" w:hAnsi="宋体"/>
                <w:kern w:val="2"/>
                <w:sz w:val="21"/>
                <w:szCs w:val="21"/>
              </w:rPr>
            </w:pPr>
            <w:r>
              <w:rPr>
                <w:rFonts w:hint="eastAsia" w:ascii="宋体" w:hAnsi="宋体"/>
                <w:kern w:val="2"/>
                <w:sz w:val="21"/>
                <w:szCs w:val="21"/>
              </w:rPr>
              <w:t>三级</w:t>
            </w:r>
          </w:p>
        </w:tc>
      </w:tr>
    </w:tbl>
    <w:p w14:paraId="66521AF5">
      <w:pPr>
        <w:wordWrap/>
        <w:spacing w:line="360" w:lineRule="auto"/>
        <w:ind w:left="0" w:firstLine="210" w:firstLineChars="100"/>
        <w:outlineLvl w:val="1"/>
        <w:rPr>
          <w:rFonts w:hint="eastAsia" w:ascii="宋体" w:hAnsi="宋体" w:cs="宋体"/>
          <w:sz w:val="21"/>
          <w:szCs w:val="21"/>
        </w:rPr>
      </w:pPr>
      <w:r>
        <w:rPr>
          <w:rFonts w:hint="eastAsia" w:ascii="宋体" w:hAnsi="宋体" w:cs="宋体"/>
          <w:sz w:val="21"/>
          <w:szCs w:val="21"/>
        </w:rPr>
        <w:t>（五）相关承诺</w:t>
      </w:r>
    </w:p>
    <w:p w14:paraId="76E1254F">
      <w:pPr>
        <w:wordWrap/>
        <w:spacing w:line="360" w:lineRule="auto"/>
        <w:ind w:left="0" w:firstLine="420" w:firstLineChars="200"/>
        <w:rPr>
          <w:rFonts w:hint="eastAsia" w:ascii="宋体" w:hAnsi="宋体" w:cs="宋体"/>
          <w:sz w:val="21"/>
          <w:szCs w:val="21"/>
        </w:rPr>
      </w:pPr>
      <w:r>
        <w:rPr>
          <w:rFonts w:hint="eastAsia" w:ascii="宋体" w:hAnsi="宋体" w:cs="宋体"/>
          <w:sz w:val="21"/>
          <w:szCs w:val="21"/>
        </w:rPr>
        <w:t>响应单位</w:t>
      </w:r>
      <w:r>
        <w:rPr>
          <w:rFonts w:ascii="宋体" w:hAnsi="宋体" w:cs="宋体"/>
          <w:sz w:val="21"/>
          <w:szCs w:val="21"/>
        </w:rPr>
        <w:t>须提供</w:t>
      </w:r>
      <w:r>
        <w:rPr>
          <w:rFonts w:hint="eastAsia" w:ascii="宋体" w:hAnsi="宋体" w:cs="宋体"/>
          <w:sz w:val="21"/>
          <w:szCs w:val="21"/>
        </w:rPr>
        <w:t>承诺：</w:t>
      </w:r>
      <w:r>
        <w:rPr>
          <w:rFonts w:ascii="宋体" w:hAnsi="宋体" w:cs="宋体"/>
          <w:sz w:val="21"/>
          <w:szCs w:val="21"/>
        </w:rPr>
        <w:t>未因违规行为受到国家网络安全等级保护工作协调小组办公室或江苏省网络安全等级保护协调小组办公室</w:t>
      </w:r>
      <w:r>
        <w:rPr>
          <w:rFonts w:hint="eastAsia" w:ascii="宋体" w:hAnsi="宋体" w:cs="宋体"/>
          <w:sz w:val="21"/>
          <w:szCs w:val="21"/>
        </w:rPr>
        <w:t>的</w:t>
      </w:r>
      <w:r>
        <w:rPr>
          <w:rFonts w:ascii="宋体" w:hAnsi="宋体" w:cs="宋体"/>
          <w:sz w:val="21"/>
          <w:szCs w:val="21"/>
        </w:rPr>
        <w:t>处罚。不提供</w:t>
      </w:r>
      <w:r>
        <w:rPr>
          <w:rFonts w:hint="eastAsia" w:ascii="宋体" w:hAnsi="宋体" w:cs="宋体"/>
          <w:sz w:val="21"/>
          <w:szCs w:val="21"/>
        </w:rPr>
        <w:t>承诺视</w:t>
      </w:r>
      <w:r>
        <w:rPr>
          <w:rFonts w:ascii="宋体" w:hAnsi="宋体" w:cs="宋体"/>
          <w:sz w:val="21"/>
          <w:szCs w:val="21"/>
        </w:rPr>
        <w:t>为</w:t>
      </w:r>
      <w:r>
        <w:rPr>
          <w:rFonts w:hint="eastAsia" w:ascii="宋体" w:hAnsi="宋体" w:cs="宋体"/>
          <w:sz w:val="21"/>
          <w:szCs w:val="21"/>
        </w:rPr>
        <w:t>非实质性响应。</w:t>
      </w:r>
    </w:p>
    <w:p w14:paraId="36612EA7">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（六）项目工作内容</w:t>
      </w:r>
    </w:p>
    <w:p w14:paraId="49478652">
      <w:pPr>
        <w:widowControl w:val="0"/>
        <w:wordWrap/>
        <w:snapToGrid w:val="0"/>
        <w:spacing w:line="360" w:lineRule="auto"/>
        <w:ind w:left="0" w:firstLine="420" w:firstLineChars="200"/>
        <w:rPr>
          <w:rFonts w:hint="eastAsia" w:ascii="宋体" w:hAnsi="宋体"/>
          <w:kern w:val="2"/>
          <w:sz w:val="21"/>
          <w:szCs w:val="21"/>
        </w:rPr>
      </w:pPr>
      <w:r>
        <w:rPr>
          <w:rFonts w:ascii="宋体" w:hAnsi="宋体"/>
          <w:kern w:val="2"/>
          <w:sz w:val="21"/>
          <w:szCs w:val="21"/>
        </w:rPr>
        <w:t>1.</w:t>
      </w:r>
      <w:r>
        <w:rPr>
          <w:rFonts w:hint="eastAsia" w:ascii="宋体" w:hAnsi="宋体"/>
          <w:kern w:val="2"/>
          <w:sz w:val="21"/>
          <w:szCs w:val="21"/>
        </w:rPr>
        <w:t>等级保护测评</w:t>
      </w:r>
    </w:p>
    <w:p w14:paraId="57F8E6D5">
      <w:pPr>
        <w:widowControl w:val="0"/>
        <w:wordWrap/>
        <w:snapToGrid w:val="0"/>
        <w:spacing w:line="360" w:lineRule="auto"/>
        <w:ind w:left="0" w:firstLine="420" w:firstLineChars="200"/>
        <w:rPr>
          <w:rFonts w:hint="eastAsia" w:ascii="宋体" w:hAnsi="宋体"/>
          <w:kern w:val="2"/>
          <w:sz w:val="21"/>
          <w:szCs w:val="21"/>
        </w:rPr>
      </w:pPr>
      <w:r>
        <w:rPr>
          <w:rFonts w:hint="eastAsia" w:ascii="宋体" w:hAnsi="宋体"/>
          <w:kern w:val="2"/>
          <w:sz w:val="21"/>
          <w:szCs w:val="21"/>
        </w:rPr>
        <w:t>根据等保2.0标准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安全运维管理。</w:t>
      </w:r>
    </w:p>
    <w:p w14:paraId="02BC5A91">
      <w:pPr>
        <w:widowControl w:val="0"/>
        <w:wordWrap/>
        <w:snapToGrid w:val="0"/>
        <w:spacing w:line="360" w:lineRule="auto"/>
        <w:ind w:left="0" w:firstLine="210" w:firstLineChars="100"/>
        <w:rPr>
          <w:rFonts w:hint="eastAsia" w:ascii="宋体" w:hAnsi="宋体"/>
          <w:kern w:val="2"/>
          <w:sz w:val="21"/>
          <w:szCs w:val="21"/>
        </w:rPr>
      </w:pPr>
      <w:r>
        <w:rPr>
          <w:rFonts w:hint="eastAsia" w:ascii="宋体" w:hAnsi="宋体"/>
          <w:kern w:val="2"/>
          <w:sz w:val="21"/>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14:paraId="0EEB1058">
      <w:pPr>
        <w:widowControl w:val="0"/>
        <w:wordWrap/>
        <w:snapToGrid w:val="0"/>
        <w:spacing w:line="360" w:lineRule="auto"/>
        <w:ind w:left="0" w:firstLine="210" w:firstLineChars="100"/>
        <w:rPr>
          <w:rFonts w:hint="eastAsia" w:ascii="宋体" w:hAnsi="宋体"/>
          <w:kern w:val="2"/>
          <w:sz w:val="21"/>
          <w:szCs w:val="21"/>
        </w:rPr>
      </w:pPr>
      <w:r>
        <w:rPr>
          <w:rFonts w:hint="eastAsia" w:ascii="宋体" w:hAnsi="宋体"/>
          <w:kern w:val="2"/>
          <w:sz w:val="21"/>
          <w:szCs w:val="21"/>
        </w:rPr>
        <w:t>（2）增强安全防护能力。依据差距分析报告的结果，并结合实际情况，区分轻重缓急，制定针对性的安全整改计划，通过安全整改不断提高信息系统的整体安全保护水平。</w:t>
      </w:r>
    </w:p>
    <w:p w14:paraId="6ADEC521">
      <w:pPr>
        <w:widowControl w:val="0"/>
        <w:wordWrap/>
        <w:spacing w:line="360" w:lineRule="auto"/>
        <w:ind w:left="0" w:firstLine="210" w:firstLineChars="100"/>
        <w:rPr>
          <w:rFonts w:hint="eastAsia" w:ascii="宋体" w:hAnsi="宋体"/>
          <w:kern w:val="2"/>
          <w:sz w:val="21"/>
          <w:szCs w:val="21"/>
        </w:rPr>
      </w:pPr>
      <w:r>
        <w:rPr>
          <w:rFonts w:hint="eastAsia" w:ascii="宋体" w:hAnsi="宋体"/>
          <w:kern w:val="2"/>
          <w:sz w:val="21"/>
          <w:szCs w:val="21"/>
        </w:rPr>
        <w:t>（3）测评结果分析</w:t>
      </w:r>
    </w:p>
    <w:p w14:paraId="7F3D6691">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1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①</w:t>
      </w:r>
      <w:r>
        <w:rPr>
          <w:rFonts w:ascii="宋体" w:hAnsi="宋体"/>
          <w:kern w:val="2"/>
          <w:sz w:val="21"/>
          <w:szCs w:val="21"/>
        </w:rPr>
        <w:fldChar w:fldCharType="end"/>
      </w:r>
      <w:r>
        <w:rPr>
          <w:rFonts w:hint="eastAsia" w:ascii="宋体" w:hAnsi="宋体"/>
          <w:kern w:val="2"/>
          <w:sz w:val="21"/>
          <w:szCs w:val="21"/>
        </w:rPr>
        <w:t>单项测评结果判定</w:t>
      </w:r>
    </w:p>
    <w:p w14:paraId="7194B1F3">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2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②</w:t>
      </w:r>
      <w:r>
        <w:rPr>
          <w:rFonts w:ascii="宋体" w:hAnsi="宋体"/>
          <w:kern w:val="2"/>
          <w:sz w:val="21"/>
          <w:szCs w:val="21"/>
        </w:rPr>
        <w:fldChar w:fldCharType="end"/>
      </w:r>
      <w:r>
        <w:rPr>
          <w:rFonts w:hint="eastAsia" w:ascii="宋体" w:hAnsi="宋体"/>
          <w:kern w:val="2"/>
          <w:sz w:val="21"/>
          <w:szCs w:val="21"/>
        </w:rPr>
        <w:t>单元测评结果判定</w:t>
      </w:r>
    </w:p>
    <w:p w14:paraId="707B990E">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3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③</w:t>
      </w:r>
      <w:r>
        <w:rPr>
          <w:rFonts w:ascii="宋体" w:hAnsi="宋体"/>
          <w:kern w:val="2"/>
          <w:sz w:val="21"/>
          <w:szCs w:val="21"/>
        </w:rPr>
        <w:fldChar w:fldCharType="end"/>
      </w:r>
      <w:r>
        <w:rPr>
          <w:rFonts w:hint="eastAsia" w:ascii="宋体" w:hAnsi="宋体"/>
          <w:kern w:val="2"/>
          <w:sz w:val="21"/>
          <w:szCs w:val="21"/>
        </w:rPr>
        <w:t>整体测评分析</w:t>
      </w:r>
    </w:p>
    <w:p w14:paraId="50ABAFF0">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4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④</w:t>
      </w:r>
      <w:r>
        <w:rPr>
          <w:rFonts w:ascii="宋体" w:hAnsi="宋体"/>
          <w:kern w:val="2"/>
          <w:sz w:val="21"/>
          <w:szCs w:val="21"/>
        </w:rPr>
        <w:fldChar w:fldCharType="end"/>
      </w:r>
      <w:r>
        <w:rPr>
          <w:rFonts w:hint="eastAsia" w:ascii="宋体" w:hAnsi="宋体"/>
          <w:kern w:val="2"/>
          <w:sz w:val="21"/>
          <w:szCs w:val="21"/>
        </w:rPr>
        <w:t>形成测评分析报告</w:t>
      </w:r>
    </w:p>
    <w:p w14:paraId="65895BC8">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5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⑤</w:t>
      </w:r>
      <w:r>
        <w:rPr>
          <w:rFonts w:ascii="宋体" w:hAnsi="宋体"/>
          <w:kern w:val="2"/>
          <w:sz w:val="21"/>
          <w:szCs w:val="21"/>
        </w:rPr>
        <w:fldChar w:fldCharType="end"/>
      </w:r>
      <w:r>
        <w:rPr>
          <w:rFonts w:hint="eastAsia" w:ascii="宋体" w:hAnsi="宋体"/>
          <w:kern w:val="2"/>
          <w:sz w:val="21"/>
          <w:szCs w:val="21"/>
        </w:rPr>
        <w:t>针对测评分析报告的整改建议</w:t>
      </w:r>
    </w:p>
    <w:p w14:paraId="61930070">
      <w:pPr>
        <w:widowControl w:val="0"/>
        <w:wordWrap/>
        <w:snapToGrid w:val="0"/>
        <w:spacing w:line="360" w:lineRule="auto"/>
        <w:ind w:left="0" w:firstLine="420" w:firstLineChars="200"/>
        <w:rPr>
          <w:rFonts w:hint="eastAsia" w:ascii="宋体" w:hAnsi="宋体"/>
          <w:kern w:val="2"/>
          <w:sz w:val="21"/>
          <w:szCs w:val="21"/>
        </w:rPr>
      </w:pPr>
      <w:r>
        <w:rPr>
          <w:rFonts w:ascii="宋体" w:hAnsi="宋体"/>
          <w:kern w:val="2"/>
          <w:sz w:val="21"/>
          <w:szCs w:val="21"/>
        </w:rPr>
        <w:t>2.</w:t>
      </w:r>
      <w:r>
        <w:rPr>
          <w:rFonts w:hint="eastAsia" w:ascii="宋体" w:hAnsi="宋体"/>
          <w:kern w:val="2"/>
          <w:sz w:val="21"/>
          <w:szCs w:val="21"/>
        </w:rPr>
        <w:t>渗透测试</w:t>
      </w:r>
    </w:p>
    <w:p w14:paraId="5F84C165">
      <w:pPr>
        <w:widowControl w:val="0"/>
        <w:wordWrap/>
        <w:snapToGrid w:val="0"/>
        <w:spacing w:line="360" w:lineRule="auto"/>
        <w:ind w:left="0" w:firstLine="420" w:firstLineChars="200"/>
        <w:rPr>
          <w:rFonts w:hint="eastAsia" w:ascii="宋体" w:hAnsi="宋体"/>
          <w:kern w:val="2"/>
          <w:sz w:val="21"/>
          <w:szCs w:val="21"/>
        </w:rPr>
      </w:pPr>
      <w:r>
        <w:rPr>
          <w:rFonts w:hint="eastAsia" w:ascii="宋体" w:hAnsi="宋体"/>
          <w:kern w:val="2"/>
          <w:sz w:val="21"/>
          <w:szCs w:val="21"/>
        </w:rPr>
        <w:t>选取可能发起攻击的测试点，使用渗透测试的方式查找可能存在的渗透点,发现信息系统防护体系的薄弱环节，找出可能发生的恶意攻击事件和违规行为。</w:t>
      </w:r>
    </w:p>
    <w:p w14:paraId="02FC3170">
      <w:pPr>
        <w:widowControl w:val="0"/>
        <w:wordWrap/>
        <w:spacing w:line="360" w:lineRule="auto"/>
        <w:ind w:left="0" w:firstLine="210" w:firstLineChars="100"/>
        <w:rPr>
          <w:rFonts w:hint="eastAsia" w:ascii="宋体" w:hAnsi="宋体"/>
          <w:kern w:val="2"/>
          <w:sz w:val="21"/>
          <w:szCs w:val="21"/>
        </w:rPr>
      </w:pPr>
      <w:r>
        <w:rPr>
          <w:rFonts w:hint="eastAsia" w:ascii="宋体" w:hAnsi="宋体"/>
          <w:kern w:val="2"/>
          <w:sz w:val="21"/>
          <w:szCs w:val="21"/>
        </w:rPr>
        <w:t>（1）渗透测试的内容</w:t>
      </w:r>
    </w:p>
    <w:p w14:paraId="20013ED3">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工作内容包括渗透测试及提供漏洞修复方案。</w:t>
      </w:r>
    </w:p>
    <w:p w14:paraId="6AD3F3C7">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本次渗透测试工作为黑盒测试。</w:t>
      </w:r>
    </w:p>
    <w:p w14:paraId="603C02F1">
      <w:pPr>
        <w:widowControl w:val="0"/>
        <w:wordWrap/>
        <w:spacing w:line="360" w:lineRule="auto"/>
        <w:ind w:left="0" w:firstLine="210" w:firstLineChars="100"/>
        <w:rPr>
          <w:rFonts w:hint="eastAsia" w:ascii="宋体" w:hAnsi="宋体"/>
          <w:kern w:val="2"/>
          <w:sz w:val="21"/>
          <w:szCs w:val="21"/>
        </w:rPr>
      </w:pPr>
      <w:r>
        <w:rPr>
          <w:rFonts w:hint="eastAsia" w:ascii="宋体" w:hAnsi="宋体"/>
          <w:kern w:val="2"/>
          <w:sz w:val="21"/>
          <w:szCs w:val="21"/>
        </w:rPr>
        <w:t>（2）需要包含如下阶段</w:t>
      </w:r>
    </w:p>
    <w:p w14:paraId="7949B5E2">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前期交互阶段：与用户组织进行讨论，确定渗透测试范围和目标。</w:t>
      </w:r>
    </w:p>
    <w:p w14:paraId="1BD3933E">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信息搜集阶段：采用各种方法搜集用户方的所有相关信息。</w:t>
      </w:r>
    </w:p>
    <w:p w14:paraId="1EC479FB">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威胁建模阶段：使用在信息搜集阶段所获取到的信息，标识出目标系统上可能存在的安全漏洞与弱点。</w:t>
      </w:r>
    </w:p>
    <w:p w14:paraId="72885E75">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漏洞分析阶段：综合前面几个环节获取到的信息，从中分析和理解，找出攻击途径和攻击方法。</w:t>
      </w:r>
    </w:p>
    <w:p w14:paraId="749CAB42">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渗透攻击阶段：针对确定好的攻击途径和攻击方法实施渗透攻击，获取系统相关权限。</w:t>
      </w:r>
    </w:p>
    <w:p w14:paraId="3962ED73">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后渗透攻击阶段：以特定的业务系统作为目标，识别出关键的基础设施，找出用户组织最具价值和尝试进行安全保护的信息和资产，找出能够对用户组织造成重要业务影响的攻击途径。</w:t>
      </w:r>
    </w:p>
    <w:p w14:paraId="233C32F7">
      <w:pPr>
        <w:widowControl w:val="0"/>
        <w:numPr>
          <w:ilvl w:val="0"/>
          <w:numId w:val="1"/>
        </w:numPr>
        <w:wordWrap/>
        <w:spacing w:line="360" w:lineRule="auto"/>
        <w:rPr>
          <w:rFonts w:hint="eastAsia" w:ascii="宋体" w:hAnsi="宋体"/>
          <w:kern w:val="2"/>
          <w:sz w:val="21"/>
          <w:szCs w:val="21"/>
        </w:rPr>
      </w:pPr>
      <w:r>
        <w:rPr>
          <w:rFonts w:hint="eastAsia" w:ascii="宋体" w:hAnsi="宋体"/>
          <w:kern w:val="2"/>
          <w:sz w:val="21"/>
          <w:szCs w:val="21"/>
        </w:rPr>
        <w:t>报告阶段：将渗透测试结果编制成文档提交给用户，提供安全解决方案。并将在渗透测试阶段产生的垃圾数据进行清理。</w:t>
      </w:r>
    </w:p>
    <w:p w14:paraId="577BED91">
      <w:pPr>
        <w:widowControl w:val="0"/>
        <w:wordWrap/>
        <w:spacing w:line="360" w:lineRule="auto"/>
        <w:ind w:left="0" w:firstLine="210" w:firstLineChars="100"/>
        <w:rPr>
          <w:rFonts w:hint="eastAsia" w:ascii="宋体" w:hAnsi="宋体"/>
          <w:kern w:val="2"/>
          <w:sz w:val="21"/>
          <w:szCs w:val="21"/>
        </w:rPr>
      </w:pPr>
      <w:r>
        <w:rPr>
          <w:rFonts w:hint="eastAsia" w:ascii="宋体" w:hAnsi="宋体"/>
          <w:kern w:val="2"/>
          <w:sz w:val="21"/>
          <w:szCs w:val="21"/>
        </w:rPr>
        <w:t>（3）渗透测试工作要求</w:t>
      </w:r>
    </w:p>
    <w:p w14:paraId="4855CA96">
      <w:pPr>
        <w:widowControl w:val="0"/>
        <w:wordWrap/>
        <w:spacing w:line="360" w:lineRule="auto"/>
        <w:ind w:left="0" w:firstLine="420" w:firstLineChars="200"/>
        <w:rPr>
          <w:rFonts w:hint="eastAsia" w:ascii="宋体" w:hAnsi="宋体"/>
          <w:kern w:val="2"/>
          <w:sz w:val="21"/>
          <w:szCs w:val="21"/>
        </w:rPr>
      </w:pPr>
      <w:r>
        <w:rPr>
          <w:rFonts w:hint="eastAsia" w:ascii="宋体" w:hAnsi="宋体"/>
          <w:kern w:val="2"/>
          <w:sz w:val="21"/>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14:paraId="1E49C073">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（七）服务成果</w:t>
      </w:r>
    </w:p>
    <w:p w14:paraId="0E68BB18">
      <w:pPr>
        <w:widowControl w:val="0"/>
        <w:wordWrap/>
        <w:spacing w:line="360" w:lineRule="auto"/>
        <w:ind w:left="0" w:firstLine="420" w:firstLineChars="200"/>
        <w:rPr>
          <w:rFonts w:hint="eastAsia" w:ascii="宋体" w:hAnsi="宋体"/>
          <w:kern w:val="2"/>
          <w:sz w:val="21"/>
          <w:szCs w:val="21"/>
        </w:rPr>
      </w:pPr>
      <w:r>
        <w:rPr>
          <w:rFonts w:hint="eastAsia" w:ascii="宋体" w:hAnsi="宋体"/>
          <w:kern w:val="2"/>
          <w:sz w:val="21"/>
          <w:szCs w:val="21"/>
        </w:rPr>
        <w:t>本次安全服务应提交以下成果：</w:t>
      </w:r>
    </w:p>
    <w:p w14:paraId="62DE4DDA">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1.</w:t>
      </w:r>
      <w:r>
        <w:rPr>
          <w:rFonts w:hint="eastAsia" w:ascii="宋体" w:hAnsi="宋体"/>
          <w:kern w:val="2"/>
          <w:sz w:val="21"/>
          <w:szCs w:val="21"/>
        </w:rPr>
        <w:t>《网络安全等级测评报告》，包括单元测评分析结果、整改测评分析结果、测评结论和安全整改建议等。</w:t>
      </w:r>
    </w:p>
    <w:p w14:paraId="055D7EA3">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2.</w:t>
      </w:r>
      <w:r>
        <w:rPr>
          <w:rFonts w:hint="eastAsia" w:ascii="宋体" w:hAnsi="宋体"/>
          <w:kern w:val="2"/>
          <w:sz w:val="21"/>
          <w:szCs w:val="21"/>
        </w:rPr>
        <w:t>《信息系统渗透测试报告》，包含但不限于如下方面的内容：渗透测试的方法、目标、范围。测试的人员、时间、策略。测试的工具、风险规避措施。测试的过程、漏洞利用截图，测试的结果等。</w:t>
      </w:r>
    </w:p>
    <w:p w14:paraId="6ECFEFE7">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3.</w:t>
      </w:r>
      <w:r>
        <w:rPr>
          <w:rFonts w:hint="eastAsia" w:ascii="宋体" w:hAnsi="宋体"/>
          <w:kern w:val="2"/>
          <w:sz w:val="21"/>
          <w:szCs w:val="21"/>
        </w:rPr>
        <w:t>提供培训服务，对业主单位信息安全管理相关人员进行安全意识教育，针对最新网络安全现状进行培训；指导信息安全管理制度的落实，并针对信息安全事故进行应急处置培训。</w:t>
      </w:r>
    </w:p>
    <w:p w14:paraId="3A337611">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4.</w:t>
      </w:r>
      <w:r>
        <w:rPr>
          <w:rFonts w:hint="eastAsia" w:ascii="宋体" w:hAnsi="宋体"/>
          <w:kern w:val="2"/>
          <w:sz w:val="21"/>
          <w:szCs w:val="21"/>
        </w:rPr>
        <w:t xml:space="preserve"> 提供安全技术支持服务，在项目工作期间，若业主单位发生网络安全问题，应及时提供远程或现场网络安全技术支持，帮助排查解决相关问题。</w:t>
      </w:r>
    </w:p>
    <w:p w14:paraId="63453B79">
      <w:pPr>
        <w:wordWrap/>
        <w:spacing w:line="360" w:lineRule="auto"/>
        <w:ind w:left="0" w:firstLine="210" w:firstLineChars="100"/>
        <w:jc w:val="left"/>
        <w:outlineLvl w:val="1"/>
        <w:rPr>
          <w:rFonts w:hint="eastAsia" w:ascii="宋体" w:hAnsi="宋体" w:cs="宋体"/>
          <w:sz w:val="21"/>
          <w:szCs w:val="21"/>
        </w:rPr>
      </w:pPr>
      <w:r>
        <w:rPr>
          <w:rFonts w:hint="eastAsia" w:ascii="宋体" w:hAnsi="宋体" w:cs="宋体"/>
          <w:sz w:val="21"/>
          <w:szCs w:val="21"/>
        </w:rPr>
        <w:t>（八）服务人员要求</w:t>
      </w:r>
    </w:p>
    <w:p w14:paraId="72076DDE">
      <w:pPr>
        <w:pStyle w:val="4"/>
        <w:ind w:firstLine="420" w:firstLineChars="200"/>
        <w:rPr>
          <w:rFonts w:hint="eastAsia" w:ascii="宋体" w:hAnsi="宋体"/>
          <w:color w:val="FF0000"/>
          <w:kern w:val="2"/>
          <w:sz w:val="21"/>
          <w:szCs w:val="21"/>
        </w:rPr>
      </w:pPr>
      <w:r>
        <w:rPr>
          <w:rFonts w:ascii="宋体" w:hAnsi="宋体"/>
          <w:kern w:val="2"/>
          <w:sz w:val="21"/>
          <w:szCs w:val="21"/>
        </w:rPr>
        <w:t>1.</w:t>
      </w:r>
      <w:r>
        <w:rPr>
          <w:rFonts w:hint="eastAsia" w:ascii="宋体" w:hAnsi="宋体"/>
          <w:kern w:val="2"/>
          <w:sz w:val="21"/>
          <w:szCs w:val="21"/>
        </w:rPr>
        <w:t>项目实施过程中，具有工作资质的项目组成员应不少于</w:t>
      </w:r>
      <w:r>
        <w:rPr>
          <w:rFonts w:ascii="宋体" w:hAnsi="宋体"/>
          <w:kern w:val="2"/>
          <w:sz w:val="21"/>
          <w:szCs w:val="21"/>
        </w:rPr>
        <w:t>4</w:t>
      </w:r>
      <w:r>
        <w:rPr>
          <w:rFonts w:hint="eastAsia" w:ascii="宋体" w:hAnsi="宋体"/>
          <w:kern w:val="2"/>
          <w:sz w:val="21"/>
          <w:szCs w:val="21"/>
        </w:rPr>
        <w:t>人，其中项目经理1人。</w:t>
      </w:r>
    </w:p>
    <w:p w14:paraId="220EC07B">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2.</w:t>
      </w:r>
      <w:r>
        <w:rPr>
          <w:rFonts w:hint="eastAsia" w:ascii="宋体" w:hAnsi="宋体"/>
          <w:kern w:val="2"/>
          <w:sz w:val="21"/>
          <w:szCs w:val="21"/>
        </w:rPr>
        <w:t>项目实施过程中实行专人专职原则，保证各安全层面的测评全面有效，能够发现实际存在安全风险。</w:t>
      </w:r>
    </w:p>
    <w:p w14:paraId="2AFAF8A4">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3.</w:t>
      </w:r>
      <w:r>
        <w:rPr>
          <w:rFonts w:hint="eastAsia" w:ascii="宋体" w:hAnsi="宋体"/>
          <w:kern w:val="2"/>
          <w:sz w:val="21"/>
          <w:szCs w:val="21"/>
        </w:rPr>
        <w:t>项目组人员必须熟练掌握信息安全相关标准与规范，具备丰富的信息安全测评工作经验，具有成熟的信息安全技术和项目管理能力，能够应对可能的突发性安全事件应急工作。</w:t>
      </w:r>
    </w:p>
    <w:p w14:paraId="792169C4">
      <w:pPr>
        <w:widowControl w:val="0"/>
        <w:wordWrap/>
        <w:spacing w:line="360" w:lineRule="auto"/>
        <w:ind w:left="0" w:firstLine="420" w:firstLineChars="200"/>
        <w:rPr>
          <w:rFonts w:hint="eastAsia" w:ascii="宋体" w:hAnsi="宋体"/>
          <w:kern w:val="2"/>
          <w:sz w:val="21"/>
          <w:szCs w:val="21"/>
        </w:rPr>
      </w:pPr>
      <w:r>
        <w:rPr>
          <w:rFonts w:ascii="宋体" w:hAnsi="宋体"/>
          <w:kern w:val="2"/>
          <w:sz w:val="21"/>
          <w:szCs w:val="21"/>
        </w:rPr>
        <w:t>4.</w:t>
      </w:r>
      <w:r>
        <w:rPr>
          <w:rFonts w:hint="eastAsia" w:ascii="宋体" w:hAnsi="宋体"/>
          <w:kern w:val="2"/>
          <w:sz w:val="21"/>
          <w:szCs w:val="21"/>
        </w:rPr>
        <w:t>供应商应在项目开始前，应签订保密协议，严格遵守法律法规，对委托单位的商业秘密、系统风险信息、项目实施内容及成果信息进行严格保密，未经同意，严禁将上述内容与任何第三方透露或用于其他商业用途，并承担由此产生的一切损失。</w:t>
      </w:r>
    </w:p>
    <w:p w14:paraId="11E37B44">
      <w:pPr>
        <w:wordWrap/>
        <w:ind w:left="0"/>
        <w:jc w:val="left"/>
        <w:rPr>
          <w:rFonts w:hint="eastAsia" w:ascii="宋体" w:hAnsi="宋体" w:cs="宋体"/>
          <w:sz w:val="21"/>
          <w:szCs w:val="21"/>
        </w:rPr>
      </w:pPr>
    </w:p>
    <w:p w14:paraId="3696BC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6B"/>
    <w:rsid w:val="00005DEC"/>
    <w:rsid w:val="00466D98"/>
    <w:rsid w:val="0047526B"/>
    <w:rsid w:val="005053AB"/>
    <w:rsid w:val="006B4753"/>
    <w:rsid w:val="008E4F57"/>
    <w:rsid w:val="00BA0053"/>
    <w:rsid w:val="32B33EEA"/>
    <w:rsid w:val="4DB8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ind w:left="1024"/>
      <w:jc w:val="both"/>
    </w:pPr>
    <w:rPr>
      <w:rFonts w:ascii="Calibri" w:hAnsi="Calibri" w:eastAsia="宋体" w:cs="Times New Roman"/>
      <w:lang w:val="en-US" w:eastAsia="zh-CN" w:bidi="ar-SA"/>
    </w:rPr>
  </w:style>
  <w:style w:type="paragraph" w:styleId="2">
    <w:name w:val="heading 1"/>
    <w:next w:val="1"/>
    <w:link w:val="14"/>
    <w:qFormat/>
    <w:uiPriority w:val="0"/>
    <w:pPr>
      <w:spacing w:before="340" w:after="330" w:line="578" w:lineRule="auto"/>
      <w:ind w:left="432" w:firstLine="18"/>
      <w:outlineLvl w:val="0"/>
    </w:pPr>
    <w:rPr>
      <w:rFonts w:ascii="Calibri" w:hAnsi="Calibri" w:eastAsia="宋体" w:cs="Times New Roman"/>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style>
  <w:style w:type="paragraph" w:styleId="4">
    <w:name w:val="Body Text"/>
    <w:basedOn w:val="1"/>
    <w:next w:val="3"/>
    <w:link w:val="15"/>
    <w:qFormat/>
    <w:uiPriority w:val="0"/>
    <w:pPr>
      <w:ind w:left="0" w:firstLine="256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0"/>
    <w:rPr>
      <w:rFonts w:ascii="Calibri" w:hAnsi="Calibri" w:eastAsia="宋体" w:cs="Times New Roman"/>
      <w:kern w:val="0"/>
      <w:sz w:val="20"/>
      <w:szCs w:val="20"/>
    </w:rPr>
  </w:style>
  <w:style w:type="character" w:customStyle="1" w:styleId="15">
    <w:name w:val="正文文本 字符"/>
    <w:basedOn w:val="10"/>
    <w:link w:val="4"/>
    <w:qFormat/>
    <w:uiPriority w:val="0"/>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2952</Words>
  <Characters>3189</Characters>
  <Lines>23</Lines>
  <Paragraphs>6</Paragraphs>
  <TotalTime>12</TotalTime>
  <ScaleCrop>false</ScaleCrop>
  <LinksUpToDate>false</LinksUpToDate>
  <CharactersWithSpaces>3207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2022-08-15T07:38:00Z</dcterms:created>
  <dc:creator>qingang</dc:creator>
  <cp:lastModifiedBy>橘子桔子橘</cp:lastModifiedBy>
  <dcterms:modified xsi:type="dcterms:W3CDTF">2025-09-11T02:37:35Z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AEA9C5103BC74872A3A103EC09AE2333_12</vt:lpwstr>
  </property>
  <property fmtid="{D5CDD505-2E9C-101B-9397-08002B2CF9AE}" pid="4" name="KSOTemplateDocerSaveRecord">
    <vt:lpwstr>eyJoZGlkIjoiODhjZjJmYTU2OGNiNGMwNDY4ZGU1YTU0MWY1NDAyMmYiLCJ1c2VySWQiOiIxMDE1NDUyMDMwIn0=</vt:lpwstr>
  </property>
</Properties>
</file>