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BA9E">
      <w:pPr>
        <w:tabs>
          <w:tab w:val="left" w:pos="420"/>
        </w:tabs>
        <w:wordWrap/>
        <w:adjustRightInd w:val="0"/>
        <w:snapToGrid w:val="0"/>
        <w:spacing w:line="360" w:lineRule="auto"/>
        <w:ind w:left="0" w:firstLine="422" w:firstLineChars="200"/>
        <w:jc w:val="center"/>
        <w:rPr>
          <w:rFonts w:hint="eastAsia" w:ascii="宋体" w:hAnsi="宋体"/>
          <w:b/>
          <w:sz w:val="21"/>
          <w:szCs w:val="21"/>
        </w:rPr>
      </w:pPr>
      <w:bookmarkStart w:id="1" w:name="_GoBack"/>
      <w:r>
        <w:rPr>
          <w:rFonts w:hint="eastAsia" w:ascii="宋体" w:hAnsi="宋体"/>
          <w:b/>
          <w:sz w:val="21"/>
          <w:szCs w:val="21"/>
        </w:rPr>
        <w:t>HIS维保及接口开发项目技术要求</w:t>
      </w:r>
    </w:p>
    <w:bookmarkEnd w:id="1"/>
    <w:p w14:paraId="4FCCC077">
      <w:pPr>
        <w:tabs>
          <w:tab w:val="left" w:pos="420"/>
        </w:tabs>
        <w:wordWrap/>
        <w:adjustRightInd w:val="0"/>
        <w:snapToGrid w:val="0"/>
        <w:spacing w:line="360" w:lineRule="auto"/>
        <w:ind w:left="0" w:firstLine="420" w:firstLineChars="200"/>
        <w:rPr>
          <w:rFonts w:hint="eastAsia" w:ascii="宋体" w:hAnsi="宋体"/>
          <w:sz w:val="21"/>
        </w:rPr>
      </w:pPr>
      <w:r>
        <w:rPr>
          <w:rFonts w:hint="eastAsia" w:ascii="宋体" w:hAnsi="宋体"/>
          <w:sz w:val="21"/>
        </w:rPr>
        <w:t>1、服务内容：</w:t>
      </w:r>
      <w:r>
        <w:rPr>
          <w:rFonts w:ascii="宋体" w:hAnsi="宋体"/>
          <w:sz w:val="21"/>
        </w:rPr>
        <w:t xml:space="preserve"> </w:t>
      </w:r>
    </w:p>
    <w:p w14:paraId="7D00779C">
      <w:pPr>
        <w:tabs>
          <w:tab w:val="left" w:pos="420"/>
        </w:tabs>
        <w:wordWrap/>
        <w:adjustRightInd w:val="0"/>
        <w:snapToGrid w:val="0"/>
        <w:spacing w:line="360" w:lineRule="auto"/>
        <w:ind w:left="0" w:firstLine="420" w:firstLineChars="200"/>
        <w:rPr>
          <w:rFonts w:hint="eastAsia" w:ascii="宋体" w:hAnsi="宋体"/>
          <w:sz w:val="21"/>
        </w:rPr>
      </w:pPr>
      <w:r>
        <w:rPr>
          <w:rFonts w:hint="eastAsia" w:ascii="宋体" w:hAnsi="宋体"/>
          <w:sz w:val="21"/>
        </w:rPr>
        <w:t>指派一名项目经理驻场工程师组成驻场维保项目组，完成年内信息化基础维保工作</w:t>
      </w:r>
      <w:r>
        <w:rPr>
          <w:rFonts w:hint="eastAsia" w:ascii="宋体" w:hAnsi="宋体" w:cs="宋体"/>
          <w:sz w:val="21"/>
          <w:szCs w:val="21"/>
        </w:rPr>
        <w:t>及政策性接口开发工作</w:t>
      </w:r>
      <w:r>
        <w:rPr>
          <w:rFonts w:hint="eastAsia" w:ascii="宋体" w:hAnsi="宋体"/>
          <w:sz w:val="21"/>
        </w:rPr>
        <w:t>。</w:t>
      </w:r>
    </w:p>
    <w:p w14:paraId="15F98878">
      <w:pPr>
        <w:tabs>
          <w:tab w:val="left" w:pos="420"/>
        </w:tabs>
        <w:wordWrap/>
        <w:adjustRightInd w:val="0"/>
        <w:snapToGrid w:val="0"/>
        <w:spacing w:line="360" w:lineRule="auto"/>
        <w:ind w:left="0" w:firstLine="420" w:firstLineChars="200"/>
        <w:rPr>
          <w:rFonts w:hint="eastAsia" w:ascii="宋体" w:hAnsi="宋体"/>
          <w:sz w:val="21"/>
        </w:rPr>
      </w:pPr>
      <w:r>
        <w:rPr>
          <w:rFonts w:hint="eastAsia" w:ascii="宋体" w:hAnsi="宋体"/>
          <w:sz w:val="21"/>
        </w:rPr>
        <w:t>2、技术及要求：</w:t>
      </w:r>
    </w:p>
    <w:tbl>
      <w:tblPr>
        <w:tblStyle w:val="6"/>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8157"/>
      </w:tblGrid>
      <w:tr w14:paraId="693F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20F5338B">
            <w:pPr>
              <w:widowControl w:val="0"/>
              <w:wordWrap/>
              <w:autoSpaceDE w:val="0"/>
              <w:autoSpaceDN w:val="0"/>
              <w:adjustRightInd w:val="0"/>
              <w:spacing w:line="360" w:lineRule="auto"/>
              <w:ind w:left="0"/>
              <w:jc w:val="center"/>
              <w:rPr>
                <w:rFonts w:hint="eastAsia" w:ascii="宋体" w:hAnsi="宋体" w:cs="仿宋"/>
                <w:bCs/>
                <w:sz w:val="21"/>
                <w:szCs w:val="21"/>
                <w:lang w:eastAsia="en-US"/>
              </w:rPr>
            </w:pPr>
            <w:bookmarkStart w:id="0" w:name="_Hlk75366919"/>
            <w:r>
              <w:rPr>
                <w:rFonts w:ascii="宋体" w:hAnsi="宋体" w:cs="仿宋"/>
                <w:bCs/>
                <w:sz w:val="21"/>
                <w:szCs w:val="21"/>
                <w:lang w:eastAsia="en-US"/>
              </w:rPr>
              <w:t>模块</w:t>
            </w:r>
          </w:p>
        </w:tc>
        <w:tc>
          <w:tcPr>
            <w:tcW w:w="8157" w:type="dxa"/>
          </w:tcPr>
          <w:p w14:paraId="79C72E10">
            <w:pPr>
              <w:widowControl w:val="0"/>
              <w:wordWrap/>
              <w:autoSpaceDE w:val="0"/>
              <w:autoSpaceDN w:val="0"/>
              <w:adjustRightInd w:val="0"/>
              <w:spacing w:line="360" w:lineRule="auto"/>
              <w:ind w:left="0"/>
              <w:jc w:val="center"/>
              <w:rPr>
                <w:rFonts w:hint="eastAsia" w:ascii="宋体" w:hAnsi="宋体" w:cs="仿宋"/>
                <w:bCs/>
                <w:sz w:val="21"/>
                <w:szCs w:val="21"/>
                <w:lang w:eastAsia="en-US"/>
              </w:rPr>
            </w:pPr>
            <w:r>
              <w:rPr>
                <w:rFonts w:ascii="宋体" w:hAnsi="宋体" w:cs="仿宋"/>
                <w:bCs/>
                <w:sz w:val="21"/>
                <w:szCs w:val="21"/>
                <w:lang w:eastAsia="en-US"/>
              </w:rPr>
              <w:t>功能</w:t>
            </w:r>
            <w:r>
              <w:rPr>
                <w:rFonts w:hint="eastAsia" w:ascii="宋体" w:hAnsi="宋体" w:cs="仿宋"/>
                <w:bCs/>
                <w:sz w:val="21"/>
                <w:szCs w:val="21"/>
                <w:lang w:eastAsia="en-US"/>
              </w:rPr>
              <w:t>、技术参数</w:t>
            </w:r>
          </w:p>
        </w:tc>
      </w:tr>
      <w:tr w14:paraId="0381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3619CC14">
            <w:pPr>
              <w:widowControl w:val="0"/>
              <w:wordWrap/>
              <w:autoSpaceDE w:val="0"/>
              <w:autoSpaceDN w:val="0"/>
              <w:adjustRightInd w:val="0"/>
              <w:spacing w:line="360" w:lineRule="auto"/>
              <w:ind w:left="0"/>
              <w:jc w:val="center"/>
              <w:rPr>
                <w:rFonts w:hint="eastAsia" w:ascii="宋体" w:hAnsi="宋体" w:cs="仿宋"/>
                <w:bCs/>
                <w:sz w:val="21"/>
                <w:szCs w:val="21"/>
                <w:lang w:eastAsia="en-US"/>
              </w:rPr>
            </w:pPr>
            <w:r>
              <w:rPr>
                <w:rFonts w:hint="eastAsia" w:ascii="宋体" w:hAnsi="宋体" w:cs="仿宋"/>
                <w:bCs/>
                <w:sz w:val="21"/>
                <w:szCs w:val="21"/>
                <w:lang w:eastAsia="en-US"/>
              </w:rPr>
              <w:t>总体要求</w:t>
            </w:r>
          </w:p>
        </w:tc>
        <w:tc>
          <w:tcPr>
            <w:tcW w:w="8157" w:type="dxa"/>
          </w:tcPr>
          <w:p w14:paraId="16B6F27C">
            <w:pPr>
              <w:widowControl w:val="0"/>
              <w:wordWrap/>
              <w:autoSpaceDE w:val="0"/>
              <w:autoSpaceDN w:val="0"/>
              <w:adjustRightInd w:val="0"/>
              <w:spacing w:line="360" w:lineRule="auto"/>
              <w:ind w:left="0"/>
              <w:jc w:val="left"/>
              <w:rPr>
                <w:rFonts w:hint="eastAsia" w:ascii="宋体" w:hAnsi="宋体" w:cs="仿宋"/>
                <w:bCs/>
                <w:sz w:val="21"/>
                <w:szCs w:val="21"/>
              </w:rPr>
            </w:pPr>
            <w:r>
              <w:rPr>
                <w:rFonts w:hint="eastAsia" w:ascii="宋体" w:hAnsi="宋体" w:cs="仿宋"/>
                <w:bCs/>
                <w:sz w:val="21"/>
                <w:szCs w:val="21"/>
              </w:rPr>
              <w:t>了解医院现有H</w:t>
            </w:r>
            <w:r>
              <w:rPr>
                <w:rFonts w:ascii="宋体" w:hAnsi="宋体" w:cs="仿宋"/>
                <w:bCs/>
                <w:sz w:val="21"/>
                <w:szCs w:val="21"/>
              </w:rPr>
              <w:t>IS</w:t>
            </w:r>
            <w:r>
              <w:rPr>
                <w:rFonts w:hint="eastAsia" w:ascii="宋体" w:hAnsi="宋体" w:cs="仿宋"/>
                <w:bCs/>
                <w:sz w:val="21"/>
                <w:szCs w:val="21"/>
              </w:rPr>
              <w:t>等信息化基础业务系统的逻辑架构，表结构。并具有维保能力及数据接口开发能力。需提供同类案例证明。</w:t>
            </w:r>
          </w:p>
        </w:tc>
      </w:tr>
      <w:tr w14:paraId="1932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923" w:type="dxa"/>
            <w:vMerge w:val="restart"/>
            <w:vAlign w:val="center"/>
          </w:tcPr>
          <w:p w14:paraId="10F473E7">
            <w:pPr>
              <w:widowControl w:val="0"/>
              <w:wordWrap/>
              <w:autoSpaceDE w:val="0"/>
              <w:autoSpaceDN w:val="0"/>
              <w:adjustRightInd w:val="0"/>
              <w:spacing w:line="360" w:lineRule="auto"/>
              <w:ind w:left="0"/>
              <w:jc w:val="center"/>
              <w:rPr>
                <w:rFonts w:hint="eastAsia" w:ascii="宋体" w:hAnsi="宋体" w:cs="仿宋"/>
                <w:bCs/>
                <w:sz w:val="21"/>
                <w:szCs w:val="21"/>
                <w:lang w:eastAsia="en-US"/>
              </w:rPr>
            </w:pPr>
            <w:r>
              <w:rPr>
                <w:rFonts w:hint="eastAsia" w:ascii="宋体" w:hAnsi="宋体" w:cs="仿宋"/>
                <w:bCs/>
                <w:sz w:val="21"/>
                <w:szCs w:val="21"/>
              </w:rPr>
              <w:t>技术能力要求</w:t>
            </w:r>
          </w:p>
        </w:tc>
        <w:tc>
          <w:tcPr>
            <w:tcW w:w="8157" w:type="dxa"/>
          </w:tcPr>
          <w:p w14:paraId="0D0F2609">
            <w:pPr>
              <w:widowControl w:val="0"/>
              <w:numPr>
                <w:ilvl w:val="0"/>
                <w:numId w:val="1"/>
              </w:numPr>
              <w:wordWrap/>
              <w:rPr>
                <w:rFonts w:hint="eastAsia" w:ascii="宋体" w:hAnsi="宋体" w:cs="仿宋"/>
                <w:bCs/>
                <w:sz w:val="21"/>
                <w:szCs w:val="21"/>
              </w:rPr>
            </w:pPr>
            <w:r>
              <w:rPr>
                <w:rFonts w:hint="eastAsia" w:ascii="宋体" w:hAnsi="宋体"/>
                <w:kern w:val="2"/>
                <w:sz w:val="21"/>
                <w:szCs w:val="21"/>
              </w:rPr>
              <w:t>★底层为</w:t>
            </w:r>
            <w:r>
              <w:rPr>
                <w:rFonts w:ascii="宋体" w:hAnsi="宋体"/>
                <w:kern w:val="2"/>
                <w:sz w:val="21"/>
                <w:szCs w:val="21"/>
              </w:rPr>
              <w:t>InterSystems</w:t>
            </w:r>
            <w:r>
              <w:rPr>
                <w:rFonts w:hint="eastAsia" w:ascii="宋体" w:hAnsi="宋体"/>
                <w:kern w:val="2"/>
                <w:sz w:val="21"/>
                <w:szCs w:val="21"/>
              </w:rPr>
              <w:t>的</w:t>
            </w:r>
            <w:r>
              <w:rPr>
                <w:rFonts w:ascii="宋体" w:hAnsi="宋体"/>
                <w:kern w:val="2"/>
                <w:sz w:val="21"/>
                <w:szCs w:val="21"/>
              </w:rPr>
              <w:t>caché</w:t>
            </w:r>
            <w:r>
              <w:rPr>
                <w:rFonts w:hint="eastAsia" w:ascii="宋体" w:hAnsi="宋体"/>
                <w:kern w:val="2"/>
                <w:sz w:val="21"/>
                <w:szCs w:val="21"/>
              </w:rPr>
              <w:t>数据库，采用</w:t>
            </w:r>
            <w:r>
              <w:rPr>
                <w:rFonts w:ascii="宋体" w:hAnsi="宋体"/>
                <w:kern w:val="2"/>
                <w:sz w:val="21"/>
                <w:szCs w:val="21"/>
              </w:rPr>
              <w:t>Ensemble</w:t>
            </w:r>
            <w:r>
              <w:rPr>
                <w:rFonts w:hint="eastAsia" w:ascii="宋体" w:hAnsi="宋体"/>
                <w:kern w:val="2"/>
                <w:sz w:val="21"/>
                <w:szCs w:val="21"/>
              </w:rPr>
              <w:t>中间件集成，通过M语言进行编辑。</w:t>
            </w:r>
          </w:p>
        </w:tc>
      </w:tr>
      <w:tr w14:paraId="49F0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Merge w:val="continue"/>
            <w:vAlign w:val="center"/>
          </w:tcPr>
          <w:p w14:paraId="4E1B8D46">
            <w:pPr>
              <w:widowControl w:val="0"/>
              <w:wordWrap/>
              <w:autoSpaceDE w:val="0"/>
              <w:autoSpaceDN w:val="0"/>
              <w:adjustRightInd w:val="0"/>
              <w:spacing w:line="360" w:lineRule="auto"/>
              <w:ind w:left="420"/>
              <w:jc w:val="left"/>
              <w:rPr>
                <w:rFonts w:hint="eastAsia" w:ascii="宋体" w:hAnsi="宋体" w:cs="仿宋"/>
                <w:bCs/>
                <w:sz w:val="21"/>
                <w:szCs w:val="21"/>
              </w:rPr>
            </w:pPr>
          </w:p>
        </w:tc>
        <w:tc>
          <w:tcPr>
            <w:tcW w:w="8157" w:type="dxa"/>
          </w:tcPr>
          <w:p w14:paraId="1207A27B">
            <w:pPr>
              <w:widowControl w:val="0"/>
              <w:numPr>
                <w:ilvl w:val="0"/>
                <w:numId w:val="1"/>
              </w:numPr>
              <w:wordWrap/>
              <w:rPr>
                <w:rFonts w:hint="eastAsia" w:ascii="宋体" w:hAnsi="宋体" w:cs="仿宋"/>
                <w:bCs/>
                <w:sz w:val="21"/>
                <w:szCs w:val="21"/>
              </w:rPr>
            </w:pPr>
            <w:r>
              <w:rPr>
                <w:rFonts w:hint="eastAsia" w:ascii="宋体" w:hAnsi="宋体"/>
                <w:kern w:val="2"/>
                <w:sz w:val="21"/>
                <w:szCs w:val="21"/>
              </w:rPr>
              <w:t>★了解现有我医院基础业务系统既东华软件股份公司现有H</w:t>
            </w:r>
            <w:r>
              <w:rPr>
                <w:rFonts w:ascii="宋体" w:hAnsi="宋体"/>
                <w:kern w:val="2"/>
                <w:sz w:val="21"/>
                <w:szCs w:val="21"/>
              </w:rPr>
              <w:t>IS</w:t>
            </w:r>
            <w:r>
              <w:rPr>
                <w:rFonts w:hint="eastAsia" w:ascii="宋体" w:hAnsi="宋体"/>
                <w:kern w:val="2"/>
                <w:sz w:val="21"/>
                <w:szCs w:val="21"/>
              </w:rPr>
              <w:t>系统的表结构及业务流程。</w:t>
            </w:r>
          </w:p>
        </w:tc>
      </w:tr>
      <w:tr w14:paraId="51594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Merge w:val="continue"/>
            <w:vAlign w:val="center"/>
          </w:tcPr>
          <w:p w14:paraId="3C99477B">
            <w:pPr>
              <w:widowControl w:val="0"/>
              <w:wordWrap/>
              <w:autoSpaceDE w:val="0"/>
              <w:autoSpaceDN w:val="0"/>
              <w:adjustRightInd w:val="0"/>
              <w:spacing w:line="360" w:lineRule="auto"/>
              <w:ind w:left="420"/>
              <w:jc w:val="left"/>
              <w:rPr>
                <w:rFonts w:hint="eastAsia" w:ascii="宋体" w:hAnsi="宋体" w:cs="仿宋"/>
                <w:bCs/>
                <w:sz w:val="21"/>
                <w:szCs w:val="21"/>
              </w:rPr>
            </w:pPr>
          </w:p>
        </w:tc>
        <w:tc>
          <w:tcPr>
            <w:tcW w:w="8157" w:type="dxa"/>
          </w:tcPr>
          <w:p w14:paraId="5F581638">
            <w:pPr>
              <w:widowControl w:val="0"/>
              <w:numPr>
                <w:ilvl w:val="0"/>
                <w:numId w:val="1"/>
              </w:numPr>
              <w:wordWrap/>
              <w:rPr>
                <w:rFonts w:hint="eastAsia" w:ascii="宋体" w:hAnsi="宋体"/>
                <w:kern w:val="2"/>
                <w:sz w:val="21"/>
                <w:szCs w:val="21"/>
              </w:rPr>
            </w:pPr>
            <w:r>
              <w:rPr>
                <w:rFonts w:hint="eastAsia" w:ascii="宋体" w:hAnsi="宋体"/>
                <w:kern w:val="2"/>
                <w:sz w:val="21"/>
                <w:szCs w:val="21"/>
              </w:rPr>
              <w:t>★在业务改造过程中能够充分考量并避免对现有业务的保障与影响。并在出现突发异常的情况下能够第一时间响应并恢复业务的连续性。</w:t>
            </w:r>
          </w:p>
        </w:tc>
      </w:tr>
      <w:tr w14:paraId="1975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Merge w:val="continue"/>
            <w:vAlign w:val="center"/>
          </w:tcPr>
          <w:p w14:paraId="6946B325">
            <w:pPr>
              <w:widowControl w:val="0"/>
              <w:wordWrap/>
              <w:autoSpaceDE w:val="0"/>
              <w:autoSpaceDN w:val="0"/>
              <w:adjustRightInd w:val="0"/>
              <w:spacing w:line="360" w:lineRule="auto"/>
              <w:ind w:left="420"/>
              <w:jc w:val="left"/>
              <w:rPr>
                <w:rFonts w:hint="eastAsia" w:ascii="宋体" w:hAnsi="宋体" w:cs="仿宋"/>
                <w:bCs/>
                <w:sz w:val="21"/>
                <w:szCs w:val="21"/>
              </w:rPr>
            </w:pPr>
          </w:p>
        </w:tc>
        <w:tc>
          <w:tcPr>
            <w:tcW w:w="8157" w:type="dxa"/>
          </w:tcPr>
          <w:p w14:paraId="58539484">
            <w:pPr>
              <w:widowControl w:val="0"/>
              <w:wordWrap/>
              <w:autoSpaceDE w:val="0"/>
              <w:autoSpaceDN w:val="0"/>
              <w:adjustRightInd w:val="0"/>
              <w:spacing w:line="360" w:lineRule="auto"/>
              <w:ind w:left="0"/>
              <w:jc w:val="left"/>
              <w:rPr>
                <w:rFonts w:hint="eastAsia" w:ascii="宋体" w:hAnsi="宋体" w:cs="仿宋"/>
                <w:bCs/>
                <w:sz w:val="21"/>
                <w:szCs w:val="21"/>
              </w:rPr>
            </w:pPr>
            <w:r>
              <w:rPr>
                <w:rFonts w:hint="eastAsia" w:ascii="宋体" w:hAnsi="宋体"/>
                <w:kern w:val="2"/>
                <w:sz w:val="21"/>
                <w:szCs w:val="21"/>
              </w:rPr>
              <w:t>4，★在数据接口对接工作中不对现有的业务流程和业务系统做大规模的调整，规避技术层面的风险。</w:t>
            </w:r>
          </w:p>
        </w:tc>
      </w:tr>
      <w:tr w14:paraId="10EA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dxa"/>
            <w:vAlign w:val="center"/>
          </w:tcPr>
          <w:p w14:paraId="49B1D8B1">
            <w:pPr>
              <w:widowControl w:val="0"/>
              <w:wordWrap/>
              <w:autoSpaceDE w:val="0"/>
              <w:autoSpaceDN w:val="0"/>
              <w:adjustRightInd w:val="0"/>
              <w:spacing w:line="360" w:lineRule="auto"/>
              <w:ind w:left="420"/>
              <w:jc w:val="left"/>
              <w:rPr>
                <w:rFonts w:hint="eastAsia" w:ascii="宋体" w:hAnsi="宋体" w:cs="仿宋"/>
                <w:bCs/>
                <w:sz w:val="21"/>
                <w:szCs w:val="21"/>
              </w:rPr>
            </w:pPr>
            <w:r>
              <w:rPr>
                <w:rFonts w:hint="eastAsia" w:ascii="宋体" w:hAnsi="宋体" w:cs="仿宋"/>
                <w:bCs/>
                <w:sz w:val="21"/>
                <w:szCs w:val="21"/>
              </w:rPr>
              <w:t>建设内容要求</w:t>
            </w:r>
          </w:p>
        </w:tc>
        <w:tc>
          <w:tcPr>
            <w:tcW w:w="8157" w:type="dxa"/>
          </w:tcPr>
          <w:p w14:paraId="5FE8A6EF">
            <w:pPr>
              <w:pStyle w:val="3"/>
              <w:numPr>
                <w:ilvl w:val="0"/>
                <w:numId w:val="2"/>
              </w:numPr>
              <w:ind w:leftChars="0"/>
              <w:outlineLvl w:val="0"/>
              <w:rPr>
                <w:rFonts w:hint="eastAsia" w:ascii="宋体" w:hAnsi="宋体"/>
                <w:sz w:val="21"/>
                <w:szCs w:val="21"/>
              </w:rPr>
            </w:pPr>
            <w:r>
              <w:rPr>
                <w:rFonts w:hint="eastAsia" w:ascii="宋体" w:hAnsi="宋体"/>
                <w:sz w:val="21"/>
                <w:szCs w:val="21"/>
              </w:rPr>
              <w:t>主数据库的日常巡检及故障排除；</w:t>
            </w:r>
          </w:p>
          <w:p w14:paraId="19C5DD47">
            <w:pPr>
              <w:pStyle w:val="3"/>
              <w:numPr>
                <w:ilvl w:val="0"/>
                <w:numId w:val="2"/>
              </w:numPr>
              <w:ind w:leftChars="0"/>
              <w:outlineLvl w:val="0"/>
              <w:rPr>
                <w:rFonts w:hint="eastAsia" w:ascii="宋体" w:hAnsi="宋体"/>
                <w:sz w:val="21"/>
                <w:szCs w:val="21"/>
              </w:rPr>
            </w:pPr>
            <w:r>
              <w:rPr>
                <w:rFonts w:hint="eastAsia" w:ascii="宋体" w:hAnsi="宋体"/>
                <w:sz w:val="21"/>
                <w:szCs w:val="21"/>
              </w:rPr>
              <w:t>主业务系统日常巡检及故障排除；</w:t>
            </w:r>
          </w:p>
          <w:p w14:paraId="221168B1">
            <w:pPr>
              <w:pStyle w:val="3"/>
              <w:numPr>
                <w:ilvl w:val="0"/>
                <w:numId w:val="2"/>
              </w:numPr>
              <w:ind w:leftChars="0"/>
              <w:outlineLvl w:val="0"/>
              <w:rPr>
                <w:rFonts w:hint="eastAsia" w:ascii="宋体" w:hAnsi="宋体"/>
                <w:sz w:val="21"/>
                <w:szCs w:val="21"/>
              </w:rPr>
            </w:pPr>
            <w:r>
              <w:rPr>
                <w:rFonts w:hint="eastAsia" w:ascii="宋体" w:hAnsi="宋体"/>
                <w:sz w:val="21"/>
                <w:szCs w:val="21"/>
              </w:rPr>
              <w:t>各业务系统包含但不限于：L</w:t>
            </w:r>
            <w:r>
              <w:rPr>
                <w:rFonts w:ascii="宋体" w:hAnsi="宋体"/>
                <w:sz w:val="21"/>
                <w:szCs w:val="21"/>
              </w:rPr>
              <w:t>IS</w:t>
            </w:r>
            <w:r>
              <w:rPr>
                <w:rFonts w:hint="eastAsia" w:ascii="宋体" w:hAnsi="宋体"/>
                <w:sz w:val="21"/>
                <w:szCs w:val="21"/>
              </w:rPr>
              <w:t>、pacs、H</w:t>
            </w:r>
            <w:r>
              <w:rPr>
                <w:rFonts w:ascii="宋体" w:hAnsi="宋体"/>
                <w:sz w:val="21"/>
                <w:szCs w:val="21"/>
              </w:rPr>
              <w:t>IS</w:t>
            </w:r>
            <w:r>
              <w:rPr>
                <w:rFonts w:hint="eastAsia" w:ascii="宋体" w:hAnsi="宋体"/>
                <w:sz w:val="21"/>
                <w:szCs w:val="21"/>
              </w:rPr>
              <w:t>、</w:t>
            </w:r>
            <w:r>
              <w:rPr>
                <w:rFonts w:ascii="宋体" w:hAnsi="宋体"/>
                <w:sz w:val="21"/>
                <w:szCs w:val="21"/>
              </w:rPr>
              <w:t>EMR</w:t>
            </w:r>
            <w:r>
              <w:rPr>
                <w:rFonts w:hint="eastAsia" w:ascii="宋体" w:hAnsi="宋体"/>
                <w:sz w:val="21"/>
                <w:szCs w:val="21"/>
              </w:rPr>
              <w:t>等系统的日常巡检、故障排除及日常值守。</w:t>
            </w:r>
          </w:p>
        </w:tc>
      </w:tr>
      <w:bookmarkEnd w:id="0"/>
    </w:tbl>
    <w:p w14:paraId="01664683">
      <w:pPr>
        <w:spacing w:line="360" w:lineRule="auto"/>
        <w:ind w:left="0" w:firstLine="422" w:firstLineChars="200"/>
        <w:rPr>
          <w:rFonts w:hint="eastAsia" w:ascii="宋体" w:hAnsi="宋体"/>
          <w:b/>
          <w:sz w:val="21"/>
          <w:szCs w:val="21"/>
        </w:rPr>
      </w:pPr>
      <w:r>
        <w:rPr>
          <w:rFonts w:hint="eastAsia" w:ascii="宋体" w:hAnsi="宋体"/>
          <w:b/>
          <w:sz w:val="21"/>
          <w:szCs w:val="21"/>
        </w:rPr>
        <w:t>（二）项目实施要求</w:t>
      </w:r>
    </w:p>
    <w:p w14:paraId="4BABD3B3">
      <w:pPr>
        <w:tabs>
          <w:tab w:val="left" w:pos="420"/>
        </w:tabs>
        <w:wordWrap/>
        <w:adjustRightInd w:val="0"/>
        <w:snapToGrid w:val="0"/>
        <w:spacing w:line="360" w:lineRule="auto"/>
        <w:ind w:left="0" w:firstLine="420" w:firstLineChars="200"/>
        <w:rPr>
          <w:rFonts w:hint="eastAsia" w:ascii="宋体" w:hAnsi="宋体"/>
          <w:sz w:val="21"/>
        </w:rPr>
      </w:pPr>
      <w:r>
        <w:rPr>
          <w:rFonts w:hint="eastAsia" w:ascii="宋体" w:hAnsi="宋体"/>
          <w:sz w:val="21"/>
        </w:rPr>
        <w:t>1、响应人成交须承诺，合同签订后需指派一名项目经理驻场工程师组成驻场维保项目组如更换人员，需提供不低于原项目人员同等资历的人员，并通过用户书面同意。</w:t>
      </w:r>
    </w:p>
    <w:p w14:paraId="19E55824">
      <w:pPr>
        <w:tabs>
          <w:tab w:val="left" w:pos="420"/>
        </w:tabs>
        <w:wordWrap/>
        <w:adjustRightInd w:val="0"/>
        <w:snapToGrid w:val="0"/>
        <w:spacing w:line="360" w:lineRule="auto"/>
        <w:ind w:left="0" w:firstLine="420" w:firstLineChars="200"/>
        <w:rPr>
          <w:rFonts w:hint="eastAsia" w:ascii="宋体" w:hAnsi="宋体"/>
          <w:sz w:val="21"/>
        </w:rPr>
      </w:pPr>
      <w:r>
        <w:rPr>
          <w:rFonts w:ascii="宋体" w:hAnsi="宋体"/>
          <w:sz w:val="21"/>
        </w:rPr>
        <w:t>2</w:t>
      </w:r>
      <w:r>
        <w:rPr>
          <w:rFonts w:hint="eastAsia" w:ascii="宋体" w:hAnsi="宋体"/>
          <w:sz w:val="21"/>
        </w:rPr>
        <w:t>、在实施过程中，响应人应安排至少</w:t>
      </w:r>
      <w:r>
        <w:rPr>
          <w:rFonts w:ascii="宋体" w:hAnsi="宋体"/>
          <w:sz w:val="21"/>
        </w:rPr>
        <w:t>1</w:t>
      </w:r>
      <w:r>
        <w:rPr>
          <w:rFonts w:hint="eastAsia" w:ascii="宋体" w:hAnsi="宋体"/>
          <w:sz w:val="21"/>
        </w:rPr>
        <w:t>名工程师在现场完成相应的调研、开发、实施等工作，未经甲方同意不得擅自离开维保项目实施地点。</w:t>
      </w:r>
    </w:p>
    <w:p w14:paraId="0E73216B">
      <w:pPr>
        <w:tabs>
          <w:tab w:val="left" w:pos="420"/>
        </w:tabs>
        <w:wordWrap/>
        <w:adjustRightInd w:val="0"/>
        <w:snapToGrid w:val="0"/>
        <w:spacing w:line="360" w:lineRule="auto"/>
        <w:ind w:left="0" w:firstLine="420" w:firstLineChars="200"/>
        <w:rPr>
          <w:rFonts w:hint="eastAsia" w:ascii="宋体" w:hAnsi="宋体"/>
          <w:sz w:val="21"/>
        </w:rPr>
      </w:pPr>
      <w:r>
        <w:rPr>
          <w:rFonts w:ascii="宋体" w:hAnsi="宋体"/>
          <w:sz w:val="21"/>
        </w:rPr>
        <w:t>3</w:t>
      </w:r>
      <w:r>
        <w:rPr>
          <w:rFonts w:hint="eastAsia" w:ascii="宋体" w:hAnsi="宋体"/>
          <w:sz w:val="21"/>
        </w:rPr>
        <w:t>、实施工期：合同签订之日起12个月并验收合格。</w:t>
      </w:r>
    </w:p>
    <w:p w14:paraId="71D5AC28">
      <w:pPr>
        <w:tabs>
          <w:tab w:val="left" w:pos="420"/>
        </w:tabs>
        <w:wordWrap/>
        <w:adjustRightInd w:val="0"/>
        <w:snapToGrid w:val="0"/>
        <w:spacing w:line="360" w:lineRule="auto"/>
        <w:ind w:left="0" w:firstLine="420" w:firstLineChars="200"/>
        <w:rPr>
          <w:rFonts w:hint="eastAsia" w:ascii="宋体" w:hAnsi="宋体"/>
          <w:kern w:val="2"/>
          <w:sz w:val="21"/>
          <w:szCs w:val="21"/>
        </w:rPr>
      </w:pPr>
      <w:r>
        <w:rPr>
          <w:rFonts w:ascii="宋体" w:hAnsi="宋体"/>
          <w:sz w:val="21"/>
        </w:rPr>
        <w:t>4</w:t>
      </w:r>
      <w:r>
        <w:rPr>
          <w:rFonts w:hint="eastAsia" w:ascii="宋体" w:hAnsi="宋体"/>
          <w:sz w:val="21"/>
        </w:rPr>
        <w:t>、实施地点：</w:t>
      </w:r>
      <w:r>
        <w:rPr>
          <w:rFonts w:hint="eastAsia" w:ascii="宋体" w:hAnsi="宋体"/>
          <w:sz w:val="21"/>
          <w:szCs w:val="21"/>
        </w:rPr>
        <w:t>苏州科技城医院（苏州高新区漓江路1号）</w:t>
      </w:r>
      <w:r>
        <w:rPr>
          <w:rFonts w:hint="eastAsia" w:ascii="宋体" w:hAnsi="宋体"/>
          <w:kern w:val="2"/>
          <w:sz w:val="21"/>
          <w:szCs w:val="21"/>
        </w:rPr>
        <w:t>。</w:t>
      </w:r>
    </w:p>
    <w:p w14:paraId="2D3A73C4">
      <w:pPr>
        <w:pStyle w:val="2"/>
        <w:ind w:left="0" w:leftChars="0"/>
        <w:rPr>
          <w:rFonts w:hint="eastAsia" w:ascii="宋体" w:hAnsi="宋体"/>
        </w:rPr>
      </w:pPr>
      <w:r>
        <w:rPr>
          <w:rFonts w:hint="eastAsia" w:ascii="宋体" w:hAnsi="宋体"/>
        </w:rPr>
        <w:t>5、培训要求：投标人需针对建设内容制定合理的培训计划及培训方案。</w:t>
      </w:r>
    </w:p>
    <w:p w14:paraId="3677FC26">
      <w:pPr>
        <w:pStyle w:val="2"/>
        <w:ind w:left="0" w:leftChars="0"/>
        <w:rPr>
          <w:rFonts w:hint="eastAsia" w:ascii="宋体" w:hAnsi="宋体"/>
        </w:rPr>
      </w:pPr>
      <w:r>
        <w:rPr>
          <w:rFonts w:hint="eastAsia" w:ascii="宋体" w:hAnsi="宋体"/>
        </w:rPr>
        <w:t>6、为本项目提供如下方案：系统架方案、项目实施方案、售后服务方案、培训方案、项目理解性。</w:t>
      </w:r>
    </w:p>
    <w:p w14:paraId="3410FE65">
      <w:pPr>
        <w:pStyle w:val="2"/>
        <w:ind w:left="0" w:leftChars="0" w:firstLine="0" w:firstLineChars="0"/>
      </w:pPr>
    </w:p>
    <w:p w14:paraId="1D762B26">
      <w:pPr>
        <w:pStyle w:val="2"/>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16C2D"/>
    <w:multiLevelType w:val="multilevel"/>
    <w:tmpl w:val="00916C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E82CFC"/>
    <w:multiLevelType w:val="multilevel"/>
    <w:tmpl w:val="20E82C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B9"/>
    <w:rsid w:val="001C125C"/>
    <w:rsid w:val="00573C6F"/>
    <w:rsid w:val="00595A9B"/>
    <w:rsid w:val="00662F46"/>
    <w:rsid w:val="009B69B2"/>
    <w:rsid w:val="00F611B9"/>
    <w:rsid w:val="32EA1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ordWrap w:val="0"/>
      <w:ind w:left="1024"/>
      <w:jc w:val="both"/>
    </w:pPr>
    <w:rPr>
      <w:rFonts w:ascii="Calibri" w:hAnsi="Calibri" w:eastAsia="宋体" w:cs="Times New Roman"/>
      <w:kern w:val="0"/>
      <w:sz w:val="20"/>
      <w:szCs w:val="20"/>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link w:val="11"/>
    <w:unhideWhenUsed/>
    <w:qFormat/>
    <w:uiPriority w:val="99"/>
    <w:pPr>
      <w:widowControl w:val="0"/>
      <w:spacing w:after="120"/>
      <w:ind w:left="420" w:leftChars="200" w:firstLine="420" w:firstLineChars="200"/>
      <w:jc w:val="both"/>
    </w:pPr>
    <w:rPr>
      <w:rFonts w:ascii="Calibri" w:hAnsi="Calibri" w:eastAsia="宋体" w:cs="Times New Roman"/>
      <w:kern w:val="2"/>
      <w:sz w:val="21"/>
      <w:szCs w:val="20"/>
      <w:lang w:val="en-US" w:eastAsia="zh-CN" w:bidi="ar-SA"/>
    </w:rPr>
  </w:style>
  <w:style w:type="paragraph" w:styleId="3">
    <w:name w:val="Body Text Indent"/>
    <w:basedOn w:val="1"/>
    <w:link w:val="10"/>
    <w:unhideWhenUsed/>
    <w:qFormat/>
    <w:uiPriority w:val="0"/>
    <w:pPr>
      <w:spacing w:after="120"/>
      <w:ind w:left="420" w:leftChars="2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正文文本缩进 字符"/>
    <w:basedOn w:val="7"/>
    <w:link w:val="3"/>
    <w:semiHidden/>
    <w:uiPriority w:val="99"/>
    <w:rPr>
      <w:rFonts w:ascii="Calibri" w:hAnsi="Calibri" w:eastAsia="宋体" w:cs="Times New Roman"/>
      <w:kern w:val="0"/>
      <w:sz w:val="20"/>
      <w:szCs w:val="20"/>
    </w:rPr>
  </w:style>
  <w:style w:type="character" w:customStyle="1" w:styleId="11">
    <w:name w:val="正文文本首行缩进 2 字符"/>
    <w:basedOn w:val="10"/>
    <w:link w:val="2"/>
    <w:uiPriority w:val="99"/>
    <w:rPr>
      <w:rFonts w:ascii="Calibri" w:hAnsi="Calibri" w:eastAsia="宋体" w:cs="Times New Roman"/>
      <w:kern w:val="0"/>
      <w:sz w:val="20"/>
      <w:szCs w:val="20"/>
    </w:rPr>
  </w:style>
  <w:style w:type="paragraph" w:styleId="12">
    <w:name w:val="List Paragraph"/>
    <w:basedOn w:val="1"/>
    <w:next w:val="1"/>
    <w:qFormat/>
    <w:uiPriority w:val="34"/>
    <w:pPr>
      <w:ind w:left="420" w:firstLine="3748"/>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660</Words>
  <Characters>696</Characters>
  <Lines>5</Lines>
  <Paragraphs>1</Paragraphs>
  <TotalTime>10</TotalTime>
  <ScaleCrop>false</ScaleCrop>
  <LinksUpToDate>false</LinksUpToDate>
  <CharactersWithSpaces>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2025-11-27T05:51:00Z</dcterms:created>
  <dc:creator>俊 马</dc:creator>
  <cp:lastModifiedBy>橘子桔子橘</cp:lastModifiedBy>
  <dcterms:modified xsi:type="dcterms:W3CDTF">2026-01-12T03:26:29Z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eyJoZGlkIjoiODhjZjJmYTU2OGNiNGMwNDY4ZGU1YTU0MWY1NDAyMmYiLCJ1c2VySWQiOiIxMDE1NDUyMDMwIn0=</vt:lpwstr>
  </property>
  <property fmtid="{D5CDD505-2E9C-101B-9397-08002B2CF9AE}" pid="3" name="KSOProductBuildVer">
    <vt:lpwstr>2052-12.1.0.24034</vt:lpwstr>
  </property>
  <property fmtid="{D5CDD505-2E9C-101B-9397-08002B2CF9AE}" pid="4" name="ICV">
    <vt:lpwstr>5E02C90BE9C4489B9C9932E19C264A01_12</vt:lpwstr>
  </property>
</Properties>
</file>