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21A64"/>
    <w:p w14:paraId="6B18590E"/>
    <w:p w14:paraId="356E3921"/>
    <w:p w14:paraId="321001BB"/>
    <w:p w14:paraId="568BCC6B">
      <w:pPr>
        <w:pStyle w:val="2"/>
        <w:spacing w:line="360" w:lineRule="auto"/>
        <w:ind w:firstLine="883" w:firstLineChars="20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南京大学医学院附属苏州医院</w:t>
      </w:r>
    </w:p>
    <w:p w14:paraId="5D3768B9">
      <w:pPr>
        <w:pStyle w:val="2"/>
        <w:spacing w:line="360" w:lineRule="auto"/>
        <w:ind w:firstLine="883" w:firstLineChars="200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消化内镜中心AI辅助诊断项目</w:t>
      </w:r>
    </w:p>
    <w:p w14:paraId="24BF06A4">
      <w:pPr>
        <w:pStyle w:val="2"/>
        <w:spacing w:line="360" w:lineRule="auto"/>
        <w:ind w:firstLine="883" w:firstLineChars="20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项目</w:t>
      </w:r>
      <w:r>
        <w:rPr>
          <w:rFonts w:hint="eastAsia" w:ascii="宋体" w:hAnsi="宋体" w:eastAsia="宋体" w:cs="宋体"/>
        </w:rPr>
        <w:t>需求书</w:t>
      </w:r>
    </w:p>
    <w:p w14:paraId="7D9CBD17">
      <w:bookmarkStart w:id="0" w:name="heading_0"/>
    </w:p>
    <w:p w14:paraId="422CF120"/>
    <w:p w14:paraId="3C0D1E81"/>
    <w:p w14:paraId="249AEF41"/>
    <w:p w14:paraId="3C9523C4"/>
    <w:p w14:paraId="71626856"/>
    <w:p w14:paraId="0CE37CF8"/>
    <w:p w14:paraId="05A4AEAC"/>
    <w:p w14:paraId="27E63B34"/>
    <w:p w14:paraId="713B0858"/>
    <w:p w14:paraId="2C3B9B03"/>
    <w:p w14:paraId="6BE19C81"/>
    <w:p w14:paraId="5616E1B4"/>
    <w:p w14:paraId="06CDEE3A"/>
    <w:p w14:paraId="06A7CC33"/>
    <w:p w14:paraId="59D9F7F5"/>
    <w:p w14:paraId="22801446"/>
    <w:p w14:paraId="064F36C3"/>
    <w:p w14:paraId="4E64E364"/>
    <w:p w14:paraId="1AF6B82D"/>
    <w:p w14:paraId="026AD73F"/>
    <w:p w14:paraId="1DE5B40C"/>
    <w:p w14:paraId="3B48D6AC"/>
    <w:p w14:paraId="08DC28AC"/>
    <w:p w14:paraId="39BFE99F"/>
    <w:p w14:paraId="2D18641E"/>
    <w:p w14:paraId="20FDE273"/>
    <w:p w14:paraId="52686750"/>
    <w:p w14:paraId="67F7A189"/>
    <w:p w14:paraId="34C8DC1E"/>
    <w:p w14:paraId="1E7EF15C"/>
    <w:p w14:paraId="2B19B763"/>
    <w:p w14:paraId="2C110D33"/>
    <w:p w14:paraId="325DACB9"/>
    <w:p w14:paraId="3141447E"/>
    <w:bookmarkEnd w:id="0"/>
    <w:p w14:paraId="60B89B9C">
      <w:pPr>
        <w:spacing w:before="380" w:after="140" w:line="360" w:lineRule="auto"/>
        <w:jc w:val="left"/>
        <w:outlineLvl w:val="0"/>
        <w:rPr>
          <w:rFonts w:hint="eastAsia" w:ascii="宋体" w:hAnsi="宋体" w:eastAsia="宋体" w:cs="宋体"/>
        </w:rPr>
      </w:pPr>
      <w:bookmarkStart w:id="1" w:name="heading_7"/>
      <w:r>
        <w:rPr>
          <w:rFonts w:hint="eastAsia" w:ascii="宋体" w:hAnsi="宋体" w:eastAsia="宋体" w:cs="宋体"/>
          <w:b/>
          <w:sz w:val="36"/>
        </w:rPr>
        <w:t>一、技术方案</w:t>
      </w:r>
      <w:bookmarkEnd w:id="1"/>
    </w:p>
    <w:p w14:paraId="23BF4219">
      <w:pPr>
        <w:spacing w:before="320" w:after="120" w:line="360" w:lineRule="auto"/>
        <w:ind w:firstLine="643" w:firstLineChars="200"/>
        <w:jc w:val="left"/>
        <w:outlineLvl w:val="1"/>
        <w:rPr>
          <w:rFonts w:hint="eastAsia" w:ascii="宋体" w:hAnsi="宋体" w:eastAsia="宋体" w:cs="宋体"/>
        </w:rPr>
      </w:pPr>
      <w:bookmarkStart w:id="2" w:name="heading_8"/>
      <w:r>
        <w:rPr>
          <w:rFonts w:hint="eastAsia" w:ascii="宋体" w:hAnsi="宋体" w:eastAsia="宋体" w:cs="宋体"/>
          <w:b/>
          <w:sz w:val="32"/>
        </w:rPr>
        <w:t>1.1 适用范围和总体要求</w:t>
      </w:r>
      <w:bookmarkEnd w:id="2"/>
    </w:p>
    <w:p w14:paraId="2D31ED21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1.  我方提供的AI辅助诊断相关服务，可对贵院消化内镜设备生成的医学图像进行实时监测、分析、处理，精准辅助医生识别病变位置，并清晰显示质控相关各项指标，助力医生提升诊断效率和准确性，符合《消化内镜诊疗技术医疗质量控制指标（2022年版）》中关于诊疗质量提升的相关要求。</w:t>
      </w:r>
    </w:p>
    <w:p w14:paraId="099B8299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2.  服务包含自动统计胃镜、肠镜核心质控指标功能，可根据贵院需求自动生成月度、季度、年度质控报告，实现消化内镜中心质控工作的数字化、规范化管理，无需人工手动统计，降低工作强度，确保质控数据的准确性和可追溯性，契合智能化质控监测的发展趋势。</w:t>
      </w:r>
    </w:p>
    <w:p w14:paraId="1FF9BF2A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  提供大屏实时展示服务，可将科室质量趋势、核心质控指标、检查量等关键信息同步展示在液晶电视上，便于科室管理人员实时监控诊疗质量，及时发现问题、持续改进，推动消化内镜诊疗质量的精细化提升。</w:t>
      </w:r>
    </w:p>
    <w:p w14:paraId="777B2C80">
      <w:pPr>
        <w:spacing w:before="320" w:after="120" w:line="360" w:lineRule="auto"/>
        <w:ind w:firstLine="643" w:firstLineChars="200"/>
        <w:jc w:val="left"/>
        <w:outlineLvl w:val="1"/>
        <w:rPr>
          <w:rFonts w:hint="eastAsia" w:ascii="宋体" w:hAnsi="宋体" w:eastAsia="宋体" w:cs="宋体"/>
        </w:rPr>
      </w:pPr>
      <w:bookmarkStart w:id="3" w:name="heading_9"/>
      <w:r>
        <w:rPr>
          <w:rFonts w:hint="eastAsia" w:ascii="宋体" w:hAnsi="宋体" w:eastAsia="宋体" w:cs="宋体"/>
          <w:b/>
          <w:sz w:val="32"/>
        </w:rPr>
        <w:t>1.2 技术要求</w:t>
      </w:r>
      <w:bookmarkEnd w:id="3"/>
    </w:p>
    <w:p w14:paraId="7C2206BE">
      <w:pPr>
        <w:spacing w:before="300" w:after="120" w:line="360" w:lineRule="auto"/>
        <w:ind w:firstLine="602" w:firstLineChars="200"/>
        <w:jc w:val="left"/>
        <w:outlineLvl w:val="2"/>
        <w:rPr>
          <w:rFonts w:hint="eastAsia" w:ascii="宋体" w:hAnsi="宋体" w:eastAsia="宋体" w:cs="宋体"/>
        </w:rPr>
      </w:pPr>
      <w:bookmarkStart w:id="4" w:name="heading_10"/>
      <w:r>
        <w:rPr>
          <w:rFonts w:hint="eastAsia" w:ascii="宋体" w:hAnsi="宋体" w:eastAsia="宋体" w:cs="宋体"/>
          <w:b/>
          <w:sz w:val="30"/>
        </w:rPr>
        <w:t>1.2.1 系统技术规格</w:t>
      </w:r>
      <w:bookmarkEnd w:id="4"/>
    </w:p>
    <w:p w14:paraId="1EBB252D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2.1  系统架构：本次采购的AI辅助诊断服务，可实现医学图像的快速处理、数据传输及质控指标统计，确保服务过程不卡顿、不中断，满足临床诊疗的实时性需求。</w:t>
      </w:r>
    </w:p>
    <w:p w14:paraId="3FA49229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2.2  设备使用权：提供两台内镜帧探（消化内镜医学图像处理设备）的三年使用权，期间负责设备的日常维护、故障维修、校准等全部服务，确保设备正常运行，无需贵院承担任何硬件相关维护费用。</w:t>
      </w:r>
    </w:p>
    <w:p w14:paraId="3F21E812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2.3  设备接入支持：至少支持接入奥林巴斯、富士、宾得、澳华、开立等品牌的内窥镜影像设备，可实现与医院现有消化内镜设备的无缝对接，无需额外添加硬件适配设备，不影响贵院现有诊疗流程。</w:t>
      </w:r>
    </w:p>
    <w:p w14:paraId="33E02916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2.4  视频输出接口支持：至少支持DVI、SDI、HDMI三种视频输出接口，可根据贵院内镜中心的实际设备配置，灵活选择接口连接，确保视频信号稳定、清晰，满足图像实时展示和处理需求。</w:t>
      </w:r>
    </w:p>
    <w:p w14:paraId="15905054">
      <w:pPr>
        <w:spacing w:before="300" w:after="120" w:line="360" w:lineRule="auto"/>
        <w:ind w:firstLine="602" w:firstLineChars="200"/>
        <w:jc w:val="left"/>
        <w:outlineLvl w:val="2"/>
        <w:rPr>
          <w:rFonts w:hint="eastAsia" w:ascii="宋体" w:hAnsi="宋体" w:eastAsia="宋体" w:cs="宋体"/>
        </w:rPr>
      </w:pPr>
      <w:bookmarkStart w:id="5" w:name="heading_11"/>
      <w:r>
        <w:rPr>
          <w:rFonts w:hint="eastAsia" w:ascii="宋体" w:hAnsi="宋体" w:eastAsia="宋体" w:cs="宋体"/>
          <w:b/>
          <w:sz w:val="30"/>
        </w:rPr>
        <w:t>1.2.2 消化内镜医学图像处理软件服务</w:t>
      </w:r>
      <w:bookmarkEnd w:id="5"/>
    </w:p>
    <w:p w14:paraId="76FE8C44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3.1  上消化道自动识别功能：具备上消化道自动识别功能，可快速识别上消化道（食管、胃、十二指肠等）的解剖部位，自动区分不同部位的图像特征，为医生诊断提供辅助参考。</w:t>
      </w:r>
    </w:p>
    <w:p w14:paraId="258F3EA3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★3.2  胃部病变识别提示功能：具备自动识别胃部病变图像位置并给出标识框提示的功能，可精准识别胃部息肉、溃疡、可疑癌变等病变，标识框清晰可见，便于医生快速定位病变部位。</w:t>
      </w:r>
    </w:p>
    <w:p w14:paraId="76DB9C06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3.3  胃镜检查耗时提示功能：具备胃镜检查耗时提示功能，可实时记录胃镜检查开始至结束的时间，当检查耗时过长或过短时，自动给出提示，辅助医生规范检查流程，确保检查质量。</w:t>
      </w:r>
    </w:p>
    <w:p w14:paraId="6D568699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▲3.4  上消化道检查完整记录功能：具备上消化道检查是否完整的记录功能，可对食管上段、食管中段、食管下段、贲门、胃底、胃体、胃角、胃窦、幽门、十二指肠球部、十二指肠降段共11个部位进行逐一识别和记录，明确标记每个部位是否检查到位，确保上消化道检查的完整性。</w:t>
      </w:r>
    </w:p>
    <w:p w14:paraId="5AB28F68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▲3.5  口咽通过时间监测功能：具备口咽通过时间监测功能，可实时监测内镜通过口咽部位的时间，准确记录相关数据，为质控分析提供依据，助力规范检查操作。</w:t>
      </w:r>
    </w:p>
    <w:p w14:paraId="546E5550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3.6  球降交界部位通过时间监测功能：具备球降交界部位通过时间监测功能，可精准记录内镜通过十二指肠球部与降段交界处的时间，为医生评估检查流程合理性提供数据支持。</w:t>
      </w:r>
    </w:p>
    <w:p w14:paraId="0684D992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▲3.7  内镜胃内移动时间显示功能：具备显示内窥镜从胃角到胃底再到胃窦的时间功能，可实时记录该过程的耗时，辅助医生优化检查流程，提升检查效率和质量。</w:t>
      </w:r>
    </w:p>
    <w:p w14:paraId="14EB6149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3.8  下消化道自动识别功能：具备下消化道自动识别功能，可快速识别结肠、直肠等下消化道解剖部位，自动区分不同部位的图像特征，辅助医生开展下消化道检查诊断。</w:t>
      </w:r>
    </w:p>
    <w:p w14:paraId="5E23CE7D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3.9  肠部病变识别提示功能：具备自动识别肠部病变图像位置并给出标识框提示的功能，可精准识别肠息肉、腺瘤、可疑癌变等病变，标识框清晰，便于医生快速定位和判断。</w:t>
      </w:r>
    </w:p>
    <w:p w14:paraId="5FF41426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3.10  肠镜检查退镜时间提示功能：具备肠镜检查退镜时间提示功能，可实时记录肠镜退镜开始至结束的时间，当退镜时间未达到标准要求（如＜6分钟）时，自动给出提示，确保肠镜检查质量，契合《消化内镜诊疗技术医疗质量控制指标（2022年版）》中关于肠镜退镜时间的质控要求。</w:t>
      </w:r>
    </w:p>
    <w:p w14:paraId="2B58640F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3.11  回盲瓣识别及退镜时间记录功能：具备自动识别回盲瓣并记录退镜时间功能，可精准识别回盲瓣位置，自动记录退镜开始时间，为肠镜质控提供关键数据，助力提升达盲率和检查质量。</w:t>
      </w:r>
    </w:p>
    <w:p w14:paraId="4636F3A4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3.12  用户账户和密码维护功能：具备维护用户账户和密码的功能，可根据贵院内镜中心的人员配置，创建、修改、删除用户账户，设置不同用户的权限（如医生、管理员、护士等），并支持密码重置、密码加密等功能，确保系统使用安全。</w:t>
      </w:r>
    </w:p>
    <w:p w14:paraId="7F838C1E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3.13  手术室编号维护功能：具备维护手术室编号的功能，可根据贵院内镜中心的手术室布局，添加、修改、删除手术室编号，便于将检查数据与手术室进行关联，实现精准管理。</w:t>
      </w:r>
    </w:p>
    <w:p w14:paraId="3AF21AC3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▲3.14  病变识别相关参数调整功能：具备病变识别相关参数调整功能，可根据贵院医生的诊断习惯、临床需求，对病变识别的灵敏度、特异度等相关参数进行灵活调整，确保病变识别的准确性和适用性。</w:t>
      </w:r>
    </w:p>
    <w:p w14:paraId="44C4B2FB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3.15  标注框调节功能：具备对标注框颜色和粗细调节功能，医生可根据自身视觉习惯，调整病变标识框的颜色（如红色、黄色等）和线条粗细，确保标识框清晰可见，不影响图像观察。</w:t>
      </w:r>
    </w:p>
    <w:p w14:paraId="2D63D256">
      <w:pPr>
        <w:spacing w:before="300" w:after="120" w:line="360" w:lineRule="auto"/>
        <w:ind w:firstLine="602" w:firstLineChars="200"/>
        <w:jc w:val="left"/>
        <w:outlineLvl w:val="2"/>
        <w:rPr>
          <w:rFonts w:hint="eastAsia" w:ascii="宋体" w:hAnsi="宋体" w:eastAsia="宋体" w:cs="宋体"/>
        </w:rPr>
      </w:pPr>
      <w:bookmarkStart w:id="6" w:name="heading_12"/>
      <w:r>
        <w:rPr>
          <w:rFonts w:hint="eastAsia" w:ascii="宋体" w:hAnsi="宋体" w:eastAsia="宋体" w:cs="宋体"/>
          <w:b/>
          <w:sz w:val="30"/>
        </w:rPr>
        <w:t>1.2.3 质控管理平台服务</w:t>
      </w:r>
      <w:bookmarkEnd w:id="6"/>
    </w:p>
    <w:p w14:paraId="1399CBF2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4.1  质控管理平台软件使用权：提供质控管理平台软件1套的三年使用权，期间负责软件的日常维护、版本升级、故障处理等全部服务，确保平台稳定运行。</w:t>
      </w:r>
    </w:p>
    <w:p w14:paraId="39CE7013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4.2  手术详情查看功能：具备查看手术详情功能，可实时查看每台消化内镜手术的基本信息（如患者姓名、检查时间、手术医生、检查部位等）、检查过程数据、病变识别结果、质控指标等详细内容，便于医生和管理人员追溯检查过程。</w:t>
      </w:r>
    </w:p>
    <w:p w14:paraId="75DAE30C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▲4.3  质控报告生成及维护功能：具备按月生成质控报告和质控报告维护功能，可自动统计每月的核心质控指标、检查量、病变检出情况等数据，生成标准化的质控报告；同时支持对报告进行修改、补充、导出等维护操作，满足贵院质控管理需求。</w:t>
      </w:r>
    </w:p>
    <w:p w14:paraId="58A853CE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4.4  胃镜质控指标统计功能：具备统计医生的胃镜检查完整率、胃癌检出率、胃早癌检出率等胃镜质控指标的功能，可按医生、按时间段进行统计分析，生成相关报表，为医生绩效评估和质控改进提供数据支持，契合《消化内镜诊疗技术医疗质量控制指标（2022年版）》中关于上消化道内镜诊疗的质控要求。</w:t>
      </w:r>
    </w:p>
    <w:p w14:paraId="4BD49E95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4.5  医生绩效统计功能：具备统计医生的手术合计等绩效统计功能，可自动统计每位医生的消化内镜手术数量、检查时长、病变检出数量等绩效相关数据，无需人工统计，提升绩效管理效率。</w:t>
      </w:r>
    </w:p>
    <w:p w14:paraId="3F6611A3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4.6  绩效排名展示功能：具备对医生的绩效统计以及各个绩效维度进行排名展示的功能，可按手术数量、病变检出率、检查完整率等不同维度进行排名，直观展示医生的工作绩效，便于科室进行绩效考核和激励。</w:t>
      </w:r>
    </w:p>
    <w:p w14:paraId="18D56018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4.7  肠镜质控指标统计功能：具备统计医生的达盲率、有效退镜时间＞6分钟比例、息肉检出率、腺瘤检出率等肠镜质控指标的功能，可按医生、按时间段进行统计分析，生成相关报表，助力提升肠镜检查质量，符合《消化内镜诊疗技术医疗质量控制指标（2022年版）》中关于结肠镜诊疗的质控要求。</w:t>
      </w:r>
    </w:p>
    <w:p w14:paraId="15B467FE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4.8  质控指标历史分析数据查看功能：具备查看质控指标历史分析数据功能，可查询任意时间段的质控指标数据，对比不同时间段的指标变化情况，为科室质控改进提供数据支撑，推动诊疗质量持续提升。</w:t>
      </w:r>
    </w:p>
    <w:p w14:paraId="4D58F2E9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4.9  质控报告统计功能：具备统计指定时间内的质控月报、季报、年报功能，可根据贵院需求，选择任意时间段，自动生成对应的质控报告，涵盖核心质控指标、检查量、病变检出情况等内容，满足不同层级的质控管理需求。</w:t>
      </w:r>
    </w:p>
    <w:p w14:paraId="032A46BF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4.10  诊室手术检查量统计功能：具备统计指定时间内诊室手术检查量功能，可按诊室、按时间段统计手术检查数量，直观展示各诊室的工作负荷，便于科室合理分配资源。</w:t>
      </w:r>
    </w:p>
    <w:p w14:paraId="3D689D78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4.11  指标变化趋势展示功能：具备指定时间内按月查看科室的检查量、胃早癌检出率、息肉检出率、腺瘤检出率等指标变化趋势，并在液晶电视上显示的功能，可通过图表（如折线图、柱状图等）直观展示指标变化，便于科室管理人员实时监控和分析。</w:t>
      </w:r>
    </w:p>
    <w:p w14:paraId="35E80541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4.12  截图显示及导出功能：具备显示并导出检查过程中部位截图和病变截图的功能，可自动保存检查过程中的关键部位截图和病变截图，支持导出为常用格式（如JPG、PNG等），便于医生进行病例分析、教学、科研等工作。</w:t>
      </w:r>
    </w:p>
    <w:p w14:paraId="54041141">
      <w:pPr>
        <w:spacing w:before="300" w:after="120" w:line="360" w:lineRule="auto"/>
        <w:ind w:firstLine="602" w:firstLineChars="200"/>
        <w:jc w:val="left"/>
        <w:outlineLvl w:val="2"/>
        <w:rPr>
          <w:rFonts w:hint="eastAsia" w:ascii="宋体" w:hAnsi="宋体" w:eastAsia="宋体" w:cs="宋体"/>
        </w:rPr>
      </w:pPr>
      <w:bookmarkStart w:id="7" w:name="heading_13"/>
      <w:r>
        <w:rPr>
          <w:rFonts w:hint="eastAsia" w:ascii="宋体" w:hAnsi="宋体" w:eastAsia="宋体" w:cs="宋体"/>
          <w:b/>
          <w:sz w:val="30"/>
        </w:rPr>
        <w:t>1.2.4 配置清单</w:t>
      </w:r>
      <w:bookmarkEnd w:id="7"/>
    </w:p>
    <w:p w14:paraId="0ACD6B3B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★5.1  消化内镜医学图像处理软件：提供2套消化内镜医学图像处理软件的三年使用权，期间负责软件的安装、调试、升级、维护等全部服务，确保软件正常运行，满足招标要求的全部功能。</w:t>
      </w:r>
    </w:p>
    <w:p w14:paraId="49BF31A3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★5.2  消化内镜质控管理平台软件：提供1套消化内镜质控管理平台软件的三年使用权，期间负责软件的安装、调试、升级、维护等全部服务，确保平台正常运行，满足招标要求的全部功能。</w:t>
      </w:r>
    </w:p>
    <w:p w14:paraId="02A35653">
      <w:pPr>
        <w:spacing w:before="380" w:after="140" w:line="360" w:lineRule="auto"/>
        <w:ind w:firstLine="723" w:firstLineChars="200"/>
        <w:jc w:val="left"/>
        <w:outlineLvl w:val="0"/>
        <w:rPr>
          <w:rFonts w:hint="eastAsia" w:ascii="宋体" w:hAnsi="宋体" w:eastAsia="宋体" w:cs="宋体"/>
        </w:rPr>
      </w:pPr>
      <w:bookmarkStart w:id="8" w:name="heading_14"/>
      <w:r>
        <w:rPr>
          <w:rFonts w:hint="eastAsia" w:ascii="宋体" w:hAnsi="宋体" w:eastAsia="宋体" w:cs="宋体"/>
          <w:b/>
          <w:sz w:val="36"/>
        </w:rPr>
        <w:t>二、安装验收方案</w:t>
      </w:r>
      <w:bookmarkEnd w:id="8"/>
    </w:p>
    <w:p w14:paraId="54829D58">
      <w:pPr>
        <w:spacing w:before="320" w:after="120" w:line="360" w:lineRule="auto"/>
        <w:ind w:firstLine="643" w:firstLineChars="200"/>
        <w:jc w:val="left"/>
        <w:outlineLvl w:val="1"/>
        <w:rPr>
          <w:rFonts w:hint="eastAsia" w:ascii="宋体" w:hAnsi="宋体" w:eastAsia="宋体" w:cs="宋体"/>
        </w:rPr>
      </w:pPr>
      <w:bookmarkStart w:id="9" w:name="heading_15"/>
      <w:r>
        <w:rPr>
          <w:rFonts w:hint="eastAsia" w:ascii="宋体" w:hAnsi="宋体" w:eastAsia="宋体" w:cs="宋体"/>
          <w:b/>
          <w:sz w:val="32"/>
        </w:rPr>
        <w:t>2.1 安装相关要求</w:t>
      </w:r>
      <w:bookmarkEnd w:id="9"/>
    </w:p>
    <w:p w14:paraId="1EF009F5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6.1  安装地点：严格按照招标文件要求，安装地点为医院内镜中心，合理规划安装方案，确保安装过程不影响贵院正常诊疗工作。</w:t>
      </w:r>
    </w:p>
    <w:p w14:paraId="500FC96F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6.9  费用承担：安装验收前产生的一切费用（包括软件安装调试费、设备运输费、人员差旅费、培训费等）均由中标方承担。</w:t>
      </w:r>
    </w:p>
    <w:p w14:paraId="56D4B829">
      <w:pPr>
        <w:rPr>
          <w:rFonts w:cs="宋体"/>
        </w:rPr>
      </w:pPr>
    </w:p>
    <w:p w14:paraId="45ED0175">
      <w:pPr>
        <w:rPr>
          <w:rFonts w:cs="宋体"/>
        </w:rPr>
      </w:pPr>
    </w:p>
    <w:p w14:paraId="175186D8">
      <w:pPr>
        <w:rPr>
          <w:rFonts w:cs="宋体"/>
        </w:rPr>
      </w:pPr>
    </w:p>
    <w:p w14:paraId="22F564E0">
      <w:pPr>
        <w:rPr>
          <w:rFonts w:cs="宋体"/>
        </w:rPr>
      </w:pPr>
    </w:p>
    <w:p w14:paraId="13B04811">
      <w:pPr>
        <w:rPr>
          <w:rFonts w:cs="宋体"/>
        </w:rPr>
      </w:pPr>
    </w:p>
    <w:p w14:paraId="07A28BF0">
      <w:pPr>
        <w:rPr>
          <w:rFonts w:cs="宋体"/>
        </w:rPr>
      </w:pPr>
    </w:p>
    <w:p w14:paraId="66B34E6E">
      <w:pPr>
        <w:rPr>
          <w:rFonts w:cs="宋体"/>
        </w:rPr>
      </w:pPr>
    </w:p>
    <w:p w14:paraId="0A0B43E3">
      <w:pPr>
        <w:rPr>
          <w:rFonts w:cs="宋体"/>
        </w:rPr>
      </w:pPr>
    </w:p>
    <w:p w14:paraId="18DEB988">
      <w:pPr>
        <w:rPr>
          <w:rFonts w:cs="宋体"/>
        </w:rPr>
      </w:pPr>
    </w:p>
    <w:p w14:paraId="5ACA7E58">
      <w:pPr>
        <w:rPr>
          <w:rFonts w:cs="宋体"/>
        </w:rPr>
      </w:pPr>
    </w:p>
    <w:p w14:paraId="1A9E0E03">
      <w:pPr>
        <w:rPr>
          <w:rFonts w:cs="宋体"/>
        </w:rPr>
      </w:pPr>
    </w:p>
    <w:p w14:paraId="6D6EFC27">
      <w:pPr>
        <w:rPr>
          <w:rFonts w:cs="宋体"/>
        </w:rPr>
      </w:pPr>
    </w:p>
    <w:p w14:paraId="1ABAFEB6">
      <w:pPr>
        <w:rPr>
          <w:rFonts w:cs="宋体"/>
        </w:rPr>
      </w:pPr>
    </w:p>
    <w:p w14:paraId="7893E6BC">
      <w:pPr>
        <w:rPr>
          <w:rFonts w:cs="宋体"/>
        </w:rPr>
      </w:pPr>
    </w:p>
    <w:p w14:paraId="0B9BFCE9">
      <w:pPr>
        <w:rPr>
          <w:rFonts w:cs="宋体"/>
        </w:rPr>
      </w:pPr>
    </w:p>
    <w:p w14:paraId="56C9DF45">
      <w:pPr>
        <w:rPr>
          <w:rFonts w:cs="宋体"/>
        </w:rPr>
      </w:pPr>
    </w:p>
    <w:p w14:paraId="7454CC23">
      <w:pPr>
        <w:rPr>
          <w:rFonts w:cs="宋体"/>
        </w:rPr>
      </w:pPr>
    </w:p>
    <w:p w14:paraId="4B573991">
      <w:pPr>
        <w:rPr>
          <w:rFonts w:cs="宋体"/>
        </w:rPr>
      </w:pPr>
    </w:p>
    <w:p w14:paraId="2B8CA663">
      <w:pPr>
        <w:rPr>
          <w:rFonts w:cs="宋体"/>
        </w:rPr>
      </w:pPr>
    </w:p>
    <w:p w14:paraId="6EF4BEC0">
      <w:pPr>
        <w:rPr>
          <w:rFonts w:cs="宋体"/>
        </w:rPr>
      </w:pPr>
    </w:p>
    <w:p w14:paraId="3C9DE64D">
      <w:pPr>
        <w:rPr>
          <w:rFonts w:cs="宋体"/>
        </w:rPr>
      </w:pPr>
    </w:p>
    <w:p w14:paraId="57F4598D">
      <w:pPr>
        <w:rPr>
          <w:rFonts w:cs="宋体"/>
        </w:rPr>
      </w:pPr>
    </w:p>
    <w:p w14:paraId="5DF8DED1">
      <w:pPr>
        <w:rPr>
          <w:rFonts w:cs="宋体"/>
        </w:rPr>
      </w:pPr>
    </w:p>
    <w:p w14:paraId="33704980">
      <w:pPr>
        <w:rPr>
          <w:rFonts w:cs="宋体"/>
        </w:rPr>
      </w:pPr>
    </w:p>
    <w:p w14:paraId="46C2D2BC">
      <w:pPr>
        <w:rPr>
          <w:rFonts w:hint="eastAsia" w:cs="宋体"/>
        </w:rPr>
      </w:pPr>
    </w:p>
    <w:p w14:paraId="6D92FECD">
      <w:pPr>
        <w:rPr>
          <w:rFonts w:hint="eastAsia" w:cs="宋体"/>
        </w:rPr>
      </w:pPr>
    </w:p>
    <w:p w14:paraId="5D87624E">
      <w:pPr>
        <w:rPr>
          <w:rFonts w:hint="eastAsia" w:cs="宋体"/>
        </w:rPr>
      </w:pPr>
    </w:p>
    <w:p w14:paraId="5B936D9D">
      <w:pPr>
        <w:rPr>
          <w:rFonts w:hint="eastAsia" w:cs="宋体"/>
        </w:rPr>
      </w:pPr>
    </w:p>
    <w:p w14:paraId="321475AE">
      <w:pPr>
        <w:rPr>
          <w:rFonts w:hint="eastAsia" w:cs="宋体"/>
        </w:rPr>
      </w:pPr>
    </w:p>
    <w:p w14:paraId="3B0466BC">
      <w:pPr>
        <w:rPr>
          <w:rFonts w:cs="宋体"/>
        </w:rPr>
      </w:pPr>
      <w:r>
        <w:rPr>
          <w:rFonts w:hint="eastAsia" w:cs="宋体"/>
        </w:rPr>
        <w:t>附件一：</w:t>
      </w:r>
    </w:p>
    <w:p w14:paraId="617DD109">
      <w:pPr>
        <w:spacing w:line="400" w:lineRule="exact"/>
        <w:jc w:val="center"/>
        <w:outlineLvl w:val="0"/>
        <w:rPr>
          <w:rFonts w:hint="eastAsia" w:ascii="宋体" w:hAnsi="宋体"/>
          <w:b/>
          <w:color w:val="000000"/>
          <w:sz w:val="32"/>
        </w:rPr>
      </w:pPr>
      <w:bookmarkStart w:id="10" w:name="_Toc31329"/>
      <w:bookmarkStart w:id="11" w:name="_Toc216662965"/>
      <w:r>
        <w:rPr>
          <w:rFonts w:hint="eastAsia" w:ascii="宋体" w:hAnsi="宋体"/>
          <w:b/>
          <w:color w:val="000000"/>
          <w:sz w:val="32"/>
        </w:rPr>
        <w:t>招标</w:t>
      </w:r>
      <w:bookmarkStart w:id="31" w:name="_GoBack"/>
      <w:bookmarkEnd w:id="31"/>
      <w:r>
        <w:rPr>
          <w:rFonts w:hint="eastAsia" w:ascii="宋体" w:hAnsi="宋体"/>
          <w:b/>
          <w:color w:val="000000"/>
          <w:sz w:val="32"/>
        </w:rPr>
        <w:t>内容及技术要求</w:t>
      </w:r>
      <w:bookmarkEnd w:id="10"/>
    </w:p>
    <w:p w14:paraId="6E5CF99D">
      <w:pPr>
        <w:spacing w:line="400" w:lineRule="exact"/>
        <w:outlineLvl w:val="1"/>
        <w:rPr>
          <w:rFonts w:hint="eastAsia" w:ascii="宋体" w:hAnsi="宋体" w:cs="宋体"/>
          <w:szCs w:val="21"/>
        </w:rPr>
      </w:pPr>
      <w:bookmarkStart w:id="12" w:name="_Toc3210"/>
      <w:bookmarkStart w:id="13" w:name="_Toc19564"/>
      <w:bookmarkStart w:id="14" w:name="_Toc22858"/>
      <w:bookmarkStart w:id="15" w:name="_Toc1864"/>
      <w:bookmarkStart w:id="16" w:name="_Toc8433"/>
      <w:bookmarkStart w:id="17" w:name="_Toc21541024"/>
      <w:r>
        <w:rPr>
          <w:rFonts w:hint="eastAsia" w:ascii="宋体" w:hAnsi="宋体" w:cs="宋体"/>
          <w:szCs w:val="21"/>
        </w:rPr>
        <w:t>注意事项：</w:t>
      </w:r>
      <w:bookmarkEnd w:id="12"/>
      <w:bookmarkEnd w:id="13"/>
      <w:bookmarkEnd w:id="14"/>
      <w:bookmarkEnd w:id="15"/>
      <w:bookmarkEnd w:id="16"/>
    </w:p>
    <w:p w14:paraId="553E8E92">
      <w:pPr>
        <w:spacing w:line="400" w:lineRule="exact"/>
        <w:outlineLvl w:val="1"/>
        <w:rPr>
          <w:rFonts w:hint="eastAsia" w:ascii="宋体" w:hAnsi="宋体" w:eastAsia="宋体" w:cs="宋体"/>
          <w:szCs w:val="21"/>
        </w:rPr>
      </w:pPr>
      <w:bookmarkStart w:id="18" w:name="_Toc26216"/>
      <w:bookmarkStart w:id="19" w:name="_Toc576"/>
      <w:bookmarkStart w:id="20" w:name="_Toc3960"/>
      <w:bookmarkStart w:id="21" w:name="_Toc15683"/>
      <w:bookmarkStart w:id="22" w:name="_Toc32320"/>
      <w:r>
        <w:rPr>
          <w:rFonts w:hint="eastAsia" w:ascii="宋体" w:hAnsi="宋体" w:eastAsia="宋体" w:cs="宋体"/>
          <w:szCs w:val="21"/>
        </w:rPr>
        <w:t>1、凡标有“★”的参数均被视为实质性条款，未响应或不满足，按无效投标处理；</w:t>
      </w:r>
      <w:bookmarkEnd w:id="18"/>
      <w:bookmarkEnd w:id="19"/>
      <w:bookmarkEnd w:id="20"/>
      <w:bookmarkEnd w:id="21"/>
      <w:bookmarkEnd w:id="22"/>
    </w:p>
    <w:p w14:paraId="2A1CBDBA">
      <w:pPr>
        <w:spacing w:line="400" w:lineRule="exact"/>
        <w:outlineLvl w:val="1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2、凡标有“▲”的参数均被视为重要条款，未响应或不满足，则会被严重扣分。</w:t>
      </w:r>
    </w:p>
    <w:p w14:paraId="038A297D">
      <w:pPr>
        <w:pStyle w:val="6"/>
        <w:ind w:left="0" w:leftChars="0" w:firstLine="0"/>
        <w:rPr>
          <w:rFonts w:hint="eastAsia" w:ascii="宋体" w:hAnsi="宋体" w:eastAsia="宋体" w:cs="宋体"/>
          <w:b/>
          <w:bCs/>
          <w:szCs w:val="21"/>
        </w:rPr>
      </w:pPr>
    </w:p>
    <w:tbl>
      <w:tblPr>
        <w:tblStyle w:val="7"/>
        <w:tblW w:w="499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7618"/>
      </w:tblGrid>
      <w:tr w14:paraId="40A7C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3C034571">
            <w:pPr>
              <w:jc w:val="center"/>
              <w:rPr>
                <w:rFonts w:hint="eastAsia" w:ascii="宋体" w:hAnsi="宋体" w:eastAsia="宋体" w:cs="宋体"/>
                <w:b/>
                <w:bCs/>
                <w:cap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4473" w:type="pct"/>
            <w:vAlign w:val="center"/>
          </w:tcPr>
          <w:p w14:paraId="66AEC95A">
            <w:pPr>
              <w:jc w:val="center"/>
              <w:rPr>
                <w:rFonts w:hint="eastAsia" w:ascii="宋体" w:hAnsi="宋体" w:eastAsia="宋体" w:cs="宋体"/>
                <w:b/>
                <w:bCs/>
                <w:cap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技术要求</w:t>
            </w:r>
          </w:p>
        </w:tc>
      </w:tr>
      <w:tr w14:paraId="6EDA6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3B0F3164">
            <w:pPr>
              <w:widowControl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一</w:t>
            </w:r>
          </w:p>
        </w:tc>
        <w:tc>
          <w:tcPr>
            <w:tcW w:w="4473" w:type="pct"/>
            <w:vAlign w:val="center"/>
          </w:tcPr>
          <w:p w14:paraId="0CF85856">
            <w:pPr>
              <w:widowControl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适用范围和总体要求</w:t>
            </w:r>
          </w:p>
        </w:tc>
      </w:tr>
      <w:tr w14:paraId="7BE3F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63008F6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473" w:type="pct"/>
          </w:tcPr>
          <w:p w14:paraId="069FF411">
            <w:pPr>
              <w:snapToGrid w:val="0"/>
              <w:spacing w:line="36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用于对消化内镜设备生成</w:t>
            </w:r>
            <w:bookmarkStart w:id="23" w:name="OLE_LINK4"/>
            <w:r>
              <w:rPr>
                <w:rFonts w:hint="eastAsia" w:ascii="宋体" w:hAnsi="宋体" w:eastAsia="宋体" w:cs="宋体"/>
                <w:szCs w:val="21"/>
              </w:rPr>
              <w:t>的医学图像进行实时监测、分析、处理，辅助医生识别病变位置，显示质控相关指标</w:t>
            </w:r>
            <w:bookmarkEnd w:id="23"/>
          </w:p>
        </w:tc>
      </w:tr>
      <w:tr w14:paraId="6EA43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1D750F9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cs="宋体"/>
                <w:szCs w:val="21"/>
              </w:rPr>
              <w:t>2</w:t>
            </w:r>
          </w:p>
        </w:tc>
        <w:tc>
          <w:tcPr>
            <w:tcW w:w="4473" w:type="pct"/>
          </w:tcPr>
          <w:p w14:paraId="55F627E7">
            <w:pPr>
              <w:snapToGrid w:val="0"/>
              <w:spacing w:line="36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自动统计胃镜/肠镜核心质控指标，自动生成月/季/年报，实现质控数字化管理。</w:t>
            </w:r>
          </w:p>
        </w:tc>
      </w:tr>
      <w:tr w14:paraId="54D7C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350283A3">
            <w:pPr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3</w:t>
            </w:r>
          </w:p>
        </w:tc>
        <w:tc>
          <w:tcPr>
            <w:tcW w:w="4473" w:type="pct"/>
          </w:tcPr>
          <w:p w14:paraId="5C027C8B">
            <w:pPr>
              <w:snapToGrid w:val="0"/>
              <w:spacing w:line="36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大屏实时展示科室质量趋势，便于科室监控与持续改进。</w:t>
            </w:r>
          </w:p>
        </w:tc>
      </w:tr>
      <w:tr w14:paraId="1536E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13FB1746">
            <w:pPr>
              <w:widowControl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二</w:t>
            </w:r>
          </w:p>
        </w:tc>
        <w:tc>
          <w:tcPr>
            <w:tcW w:w="4473" w:type="pct"/>
            <w:vAlign w:val="center"/>
          </w:tcPr>
          <w:p w14:paraId="59FF8920">
            <w:pPr>
              <w:widowControl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技术要求（技术参数和功能）</w:t>
            </w:r>
          </w:p>
        </w:tc>
      </w:tr>
      <w:tr w14:paraId="392077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2831AB66"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4473" w:type="pct"/>
            <w:vAlign w:val="center"/>
          </w:tcPr>
          <w:p w14:paraId="4C10F1F2">
            <w:pPr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系统技术规格</w:t>
            </w:r>
          </w:p>
        </w:tc>
      </w:tr>
      <w:tr w14:paraId="7C493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28E9F17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2.1</w:t>
            </w:r>
          </w:p>
        </w:tc>
        <w:tc>
          <w:tcPr>
            <w:tcW w:w="4473" w:type="pct"/>
            <w:vAlign w:val="center"/>
          </w:tcPr>
          <w:p w14:paraId="52D1138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系统架构：AI主机和服务器系统架构</w:t>
            </w:r>
          </w:p>
        </w:tc>
      </w:tr>
      <w:tr w14:paraId="29CA6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41479C1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2.2</w:t>
            </w:r>
          </w:p>
        </w:tc>
        <w:tc>
          <w:tcPr>
            <w:tcW w:w="4473" w:type="pct"/>
            <w:vAlign w:val="center"/>
          </w:tcPr>
          <w:p w14:paraId="6D010D66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cs="宋体"/>
                <w:kern w:val="2"/>
                <w:szCs w:val="21"/>
              </w:rPr>
              <w:t>提供两台内镜帧探(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消化内镜医学图像处理</w:t>
            </w:r>
            <w:r>
              <w:rPr>
                <w:rFonts w:hint="eastAsia" w:cs="宋体"/>
                <w:bCs/>
                <w:szCs w:val="21"/>
              </w:rPr>
              <w:t>设备</w:t>
            </w:r>
            <w:r>
              <w:rPr>
                <w:rFonts w:hint="eastAsia" w:cs="宋体"/>
                <w:kern w:val="2"/>
                <w:szCs w:val="21"/>
              </w:rPr>
              <w:t>)两台*三年使用权</w:t>
            </w:r>
          </w:p>
        </w:tc>
      </w:tr>
      <w:tr w14:paraId="6D4AA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668E94A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2.3</w:t>
            </w:r>
          </w:p>
        </w:tc>
        <w:tc>
          <w:tcPr>
            <w:tcW w:w="4473" w:type="pct"/>
            <w:vAlign w:val="center"/>
          </w:tcPr>
          <w:p w14:paraId="57013F86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至少支持接入以下品牌内窥镜影像设备：奥林巴斯、富士、宾得、澳华、开立等</w:t>
            </w:r>
          </w:p>
        </w:tc>
      </w:tr>
      <w:tr w14:paraId="067E1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F89D85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</w:t>
            </w:r>
          </w:p>
        </w:tc>
        <w:tc>
          <w:tcPr>
            <w:tcW w:w="4473" w:type="pct"/>
            <w:vAlign w:val="center"/>
          </w:tcPr>
          <w:p w14:paraId="5F64FC95">
            <w:pPr>
              <w:rPr>
                <w:rFonts w:hint="eastAsia" w:ascii="宋体" w:hAnsi="宋体" w:eastAsia="宋体" w:cs="宋体"/>
                <w:color w:val="000000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至少支持以下视频输出接口：DVI、SDI、HDMI</w:t>
            </w:r>
          </w:p>
        </w:tc>
      </w:tr>
      <w:tr w14:paraId="0EEC9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2A0E196B"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3</w:t>
            </w:r>
          </w:p>
        </w:tc>
        <w:tc>
          <w:tcPr>
            <w:tcW w:w="4473" w:type="pct"/>
            <w:vAlign w:val="center"/>
          </w:tcPr>
          <w:p w14:paraId="3B3325A4">
            <w:pPr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消化内镜医学图像处理软件</w:t>
            </w:r>
          </w:p>
        </w:tc>
      </w:tr>
      <w:tr w14:paraId="755C7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061C791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3.1</w:t>
            </w:r>
          </w:p>
        </w:tc>
        <w:tc>
          <w:tcPr>
            <w:tcW w:w="4473" w:type="pct"/>
            <w:vAlign w:val="center"/>
          </w:tcPr>
          <w:p w14:paraId="6FD399FD">
            <w:pPr>
              <w:rPr>
                <w:rFonts w:hint="eastAsia"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具备上消化道自动识别功能</w:t>
            </w:r>
          </w:p>
        </w:tc>
      </w:tr>
      <w:tr w14:paraId="46B7B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4C7FE5C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24" w:name="OLE_LINK9" w:colFirst="1" w:colLast="1"/>
            <w:r>
              <w:rPr>
                <w:rFonts w:hint="eastAsia" w:ascii="宋体" w:hAnsi="宋体" w:eastAsia="宋体" w:cs="宋体"/>
                <w:szCs w:val="21"/>
              </w:rPr>
              <w:t>★3.2</w:t>
            </w:r>
          </w:p>
        </w:tc>
        <w:tc>
          <w:tcPr>
            <w:tcW w:w="4473" w:type="pct"/>
            <w:vAlign w:val="center"/>
          </w:tcPr>
          <w:p w14:paraId="5060015E">
            <w:pPr>
              <w:rPr>
                <w:rFonts w:hint="eastAsia" w:ascii="宋体" w:hAnsi="宋体" w:eastAsia="宋体" w:cs="宋体"/>
                <w:color w:val="000000"/>
                <w:szCs w:val="21"/>
              </w:rPr>
            </w:pPr>
            <w:bookmarkStart w:id="25" w:name="OLE_LINK7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具备自动识别</w:t>
            </w:r>
            <w:bookmarkStart w:id="26" w:name="OLE_LINK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胃部病变图像位置</w:t>
            </w:r>
            <w:bookmarkStart w:id="27" w:name="OLE_LINK5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并给出标识框提示的功能</w:t>
            </w:r>
            <w:bookmarkEnd w:id="25"/>
            <w:bookmarkEnd w:id="26"/>
            <w:bookmarkEnd w:id="27"/>
            <w:r>
              <w:rPr>
                <w:rFonts w:hint="eastAsia" w:ascii="宋体" w:hAnsi="宋体" w:eastAsia="宋体" w:cs="宋体"/>
                <w:color w:val="000000"/>
                <w:szCs w:val="21"/>
              </w:rPr>
              <w:t>(提供证明，并标明所在页码）</w:t>
            </w:r>
          </w:p>
        </w:tc>
      </w:tr>
      <w:bookmarkEnd w:id="24"/>
      <w:tr w14:paraId="0AE22E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15A46F4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3.3</w:t>
            </w:r>
          </w:p>
        </w:tc>
        <w:tc>
          <w:tcPr>
            <w:tcW w:w="4473" w:type="pct"/>
            <w:vAlign w:val="center"/>
          </w:tcPr>
          <w:p w14:paraId="73EDAB5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具备胃镜检查耗时提示功能</w:t>
            </w:r>
          </w:p>
        </w:tc>
      </w:tr>
      <w:tr w14:paraId="30DF58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26" w:type="pct"/>
            <w:vAlign w:val="center"/>
          </w:tcPr>
          <w:p w14:paraId="70873B5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▲3.4</w:t>
            </w:r>
          </w:p>
        </w:tc>
        <w:tc>
          <w:tcPr>
            <w:tcW w:w="4473" w:type="pct"/>
            <w:vAlign w:val="center"/>
          </w:tcPr>
          <w:p w14:paraId="2C6C40F5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具备上消化道检查是否完整的记录功能(共计11个部位：</w:t>
            </w:r>
            <w:r>
              <w:rPr>
                <w:rFonts w:hint="eastAsia" w:ascii="宋体" w:hAnsi="宋体" w:eastAsia="宋体" w:cs="宋体"/>
                <w:spacing w:val="8"/>
                <w:szCs w:val="21"/>
                <w:shd w:val="clear" w:color="auto" w:fill="FFFFFF"/>
              </w:rPr>
              <w:t>食管上段、中段、下段；贲门、胃底、胃体、胃角、胃窦、幽门，十二指肠球部、降段</w:t>
            </w:r>
            <w:r>
              <w:rPr>
                <w:rFonts w:hint="eastAsia" w:ascii="宋体" w:hAnsi="宋体" w:eastAsia="宋体" w:cs="宋体"/>
                <w:szCs w:val="21"/>
              </w:rPr>
              <w:t>)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(提供证明，并标明所在页码）</w:t>
            </w:r>
          </w:p>
        </w:tc>
      </w:tr>
      <w:tr w14:paraId="536DD6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0C877A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28" w:name="OLE_LINK12"/>
            <w:r>
              <w:rPr>
                <w:rFonts w:hint="eastAsia" w:ascii="宋体" w:hAnsi="宋体" w:eastAsia="宋体" w:cs="宋体"/>
                <w:szCs w:val="21"/>
              </w:rPr>
              <w:t>▲</w:t>
            </w:r>
            <w:bookmarkEnd w:id="28"/>
            <w:r>
              <w:rPr>
                <w:rFonts w:hint="eastAsia" w:ascii="宋体" w:hAnsi="宋体" w:eastAsia="宋体" w:cs="宋体"/>
                <w:szCs w:val="21"/>
              </w:rPr>
              <w:t>3.5</w:t>
            </w:r>
          </w:p>
        </w:tc>
        <w:tc>
          <w:tcPr>
            <w:tcW w:w="4473" w:type="pct"/>
            <w:vAlign w:val="center"/>
          </w:tcPr>
          <w:p w14:paraId="2B45B038">
            <w:pPr>
              <w:rPr>
                <w:rFonts w:hint="eastAsia" w:ascii="宋体" w:hAnsi="宋体" w:eastAsia="宋体" w:cs="宋体"/>
                <w:szCs w:val="21"/>
              </w:rPr>
            </w:pPr>
            <w:bookmarkStart w:id="29" w:name="OLE_LINK10"/>
            <w:r>
              <w:rPr>
                <w:rFonts w:hint="eastAsia" w:ascii="宋体" w:hAnsi="宋体" w:eastAsia="宋体" w:cs="宋体"/>
                <w:szCs w:val="21"/>
              </w:rPr>
              <w:t>具备口咽通过时间监测功能</w:t>
            </w:r>
            <w:bookmarkEnd w:id="29"/>
            <w:r>
              <w:rPr>
                <w:rFonts w:hint="eastAsia" w:ascii="宋体" w:hAnsi="宋体" w:eastAsia="宋体" w:cs="宋体"/>
                <w:color w:val="000000"/>
                <w:szCs w:val="21"/>
              </w:rPr>
              <w:t>(提供证明，并标明所在页码）</w:t>
            </w:r>
          </w:p>
        </w:tc>
      </w:tr>
      <w:tr w14:paraId="2F739C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7078F28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3.6</w:t>
            </w:r>
          </w:p>
        </w:tc>
        <w:tc>
          <w:tcPr>
            <w:tcW w:w="4473" w:type="pct"/>
            <w:vAlign w:val="center"/>
          </w:tcPr>
          <w:p w14:paraId="4641D24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具备球降交界部位通过时间监测功能</w:t>
            </w:r>
          </w:p>
        </w:tc>
      </w:tr>
      <w:tr w14:paraId="542C6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28F9F01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▲3.7</w:t>
            </w:r>
          </w:p>
        </w:tc>
        <w:tc>
          <w:tcPr>
            <w:tcW w:w="4473" w:type="pct"/>
            <w:vAlign w:val="center"/>
          </w:tcPr>
          <w:p w14:paraId="56C8F26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具备显示内窥镜从胃角到胃底再到胃窦的时间功能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(提供证明，并标明所在页码）</w:t>
            </w:r>
          </w:p>
        </w:tc>
      </w:tr>
      <w:tr w14:paraId="2DC2C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26" w:type="pct"/>
            <w:vAlign w:val="center"/>
          </w:tcPr>
          <w:p w14:paraId="7C5C3E8F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3.8</w:t>
            </w:r>
          </w:p>
        </w:tc>
        <w:tc>
          <w:tcPr>
            <w:tcW w:w="4473" w:type="pct"/>
            <w:vAlign w:val="center"/>
          </w:tcPr>
          <w:p w14:paraId="7B6F3982">
            <w:pPr>
              <w:rPr>
                <w:rFonts w:hint="eastAsia" w:ascii="宋体" w:hAnsi="宋体" w:eastAsia="宋体" w:cs="宋体"/>
                <w:color w:val="FF0000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具备下消化道自动识别功能</w:t>
            </w:r>
          </w:p>
        </w:tc>
      </w:tr>
      <w:tr w14:paraId="4BC55B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EB02036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3.9</w:t>
            </w:r>
          </w:p>
        </w:tc>
        <w:tc>
          <w:tcPr>
            <w:tcW w:w="4473" w:type="pct"/>
            <w:vAlign w:val="center"/>
          </w:tcPr>
          <w:p w14:paraId="649FCC64">
            <w:pPr>
              <w:rPr>
                <w:rFonts w:hint="eastAsia" w:ascii="宋体" w:hAnsi="宋体" w:eastAsia="宋体" w:cs="宋体"/>
                <w:color w:val="000000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具备自动识别肠部病变图像位置并给出标识框提示的功能</w:t>
            </w:r>
          </w:p>
        </w:tc>
      </w:tr>
      <w:tr w14:paraId="6BCD7B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4C13E465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3.10</w:t>
            </w:r>
          </w:p>
        </w:tc>
        <w:tc>
          <w:tcPr>
            <w:tcW w:w="4473" w:type="pct"/>
            <w:vAlign w:val="center"/>
          </w:tcPr>
          <w:p w14:paraId="5AECB076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具备肠镜检查退镜时间提示功能</w:t>
            </w:r>
          </w:p>
        </w:tc>
      </w:tr>
      <w:tr w14:paraId="2B84B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7E66FA0D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3.11</w:t>
            </w:r>
          </w:p>
        </w:tc>
        <w:tc>
          <w:tcPr>
            <w:tcW w:w="4473" w:type="pct"/>
            <w:vAlign w:val="center"/>
          </w:tcPr>
          <w:p w14:paraId="5A34068D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具备自动识别回盲瓣并记录退镜时间功能</w:t>
            </w:r>
          </w:p>
        </w:tc>
      </w:tr>
      <w:tr w14:paraId="3364F0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0A93DCF6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3.12</w:t>
            </w:r>
          </w:p>
        </w:tc>
        <w:tc>
          <w:tcPr>
            <w:tcW w:w="4473" w:type="pct"/>
            <w:vAlign w:val="center"/>
          </w:tcPr>
          <w:p w14:paraId="4F2C2959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具备维护用户账户和密码功能</w:t>
            </w:r>
          </w:p>
        </w:tc>
      </w:tr>
      <w:tr w14:paraId="61A89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4B58BC00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3.13</w:t>
            </w:r>
          </w:p>
        </w:tc>
        <w:tc>
          <w:tcPr>
            <w:tcW w:w="4473" w:type="pct"/>
            <w:vAlign w:val="center"/>
          </w:tcPr>
          <w:p w14:paraId="27EDB0D9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具备维护手术室编号功能</w:t>
            </w:r>
          </w:p>
        </w:tc>
      </w:tr>
      <w:tr w14:paraId="2FDC0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7538ADB0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3.14</w:t>
            </w:r>
          </w:p>
        </w:tc>
        <w:tc>
          <w:tcPr>
            <w:tcW w:w="4473" w:type="pct"/>
            <w:vAlign w:val="center"/>
          </w:tcPr>
          <w:p w14:paraId="7799E560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具备病变识别相关参数调整功能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(提供证明，并标明所在页码）</w:t>
            </w:r>
          </w:p>
        </w:tc>
      </w:tr>
      <w:tr w14:paraId="630C4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7C951C11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3.15</w:t>
            </w:r>
          </w:p>
        </w:tc>
        <w:tc>
          <w:tcPr>
            <w:tcW w:w="4473" w:type="pct"/>
            <w:vAlign w:val="center"/>
          </w:tcPr>
          <w:p w14:paraId="0678D193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具备对标注框颜色和粗细调节功能</w:t>
            </w:r>
          </w:p>
        </w:tc>
      </w:tr>
      <w:tr w14:paraId="36B81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1BBE91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4</w:t>
            </w:r>
          </w:p>
        </w:tc>
        <w:tc>
          <w:tcPr>
            <w:tcW w:w="4473" w:type="pct"/>
            <w:vAlign w:val="center"/>
          </w:tcPr>
          <w:p w14:paraId="52CD2248">
            <w:pPr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质控管理平台</w:t>
            </w:r>
          </w:p>
        </w:tc>
      </w:tr>
      <w:tr w14:paraId="5DB14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6D6A69AA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4.1</w:t>
            </w:r>
          </w:p>
        </w:tc>
        <w:tc>
          <w:tcPr>
            <w:tcW w:w="4473" w:type="pct"/>
            <w:vAlign w:val="center"/>
          </w:tcPr>
          <w:p w14:paraId="66E8558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cs="宋体"/>
                <w:szCs w:val="21"/>
              </w:rPr>
              <w:t>提供质控管理平台软件1套使用三年</w:t>
            </w:r>
          </w:p>
        </w:tc>
      </w:tr>
      <w:tr w14:paraId="2E4F54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2B92A4BB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4.2</w:t>
            </w:r>
          </w:p>
        </w:tc>
        <w:tc>
          <w:tcPr>
            <w:tcW w:w="4473" w:type="pct"/>
            <w:vAlign w:val="center"/>
          </w:tcPr>
          <w:p w14:paraId="30F3356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具备查看手术详情功能</w:t>
            </w:r>
          </w:p>
        </w:tc>
      </w:tr>
      <w:tr w14:paraId="4A79D4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11CCE181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4.3</w:t>
            </w:r>
          </w:p>
        </w:tc>
        <w:tc>
          <w:tcPr>
            <w:tcW w:w="4473" w:type="pct"/>
            <w:vAlign w:val="center"/>
          </w:tcPr>
          <w:p w14:paraId="543812C4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具备按</w:t>
            </w:r>
            <w:bookmarkStart w:id="30" w:name="OLE_LINK11"/>
            <w:r>
              <w:rPr>
                <w:rFonts w:hint="eastAsia" w:ascii="宋体" w:hAnsi="宋体" w:eastAsia="宋体" w:cs="宋体"/>
                <w:szCs w:val="21"/>
              </w:rPr>
              <w:t>月生成质控报告和质控报</w:t>
            </w:r>
            <w:bookmarkEnd w:id="30"/>
            <w:r>
              <w:rPr>
                <w:rFonts w:hint="eastAsia" w:ascii="宋体" w:hAnsi="宋体" w:eastAsia="宋体" w:cs="宋体"/>
                <w:szCs w:val="21"/>
              </w:rPr>
              <w:t>告维护功能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(提供证明，并标明所在页码）</w:t>
            </w:r>
          </w:p>
        </w:tc>
      </w:tr>
      <w:tr w14:paraId="5D2CA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151AAC5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4.4</w:t>
            </w:r>
          </w:p>
        </w:tc>
        <w:tc>
          <w:tcPr>
            <w:tcW w:w="4473" w:type="pct"/>
            <w:vAlign w:val="center"/>
          </w:tcPr>
          <w:p w14:paraId="26E4C121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具备统计医生的胃镜检查完整率、胃癌检出率、胃早癌检出率等胃镜质控指标功能</w:t>
            </w:r>
          </w:p>
        </w:tc>
      </w:tr>
      <w:tr w14:paraId="57945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33D13BDD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4.5</w:t>
            </w:r>
          </w:p>
        </w:tc>
        <w:tc>
          <w:tcPr>
            <w:tcW w:w="4473" w:type="pct"/>
            <w:vAlign w:val="center"/>
          </w:tcPr>
          <w:p w14:paraId="299B1762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cs="宋体"/>
                <w:kern w:val="2"/>
                <w:szCs w:val="21"/>
              </w:rPr>
              <w:t>具备统计医生的手术合计等绩效统计</w:t>
            </w:r>
          </w:p>
        </w:tc>
      </w:tr>
      <w:tr w14:paraId="645BAA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297BC1E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4.6</w:t>
            </w:r>
          </w:p>
        </w:tc>
        <w:tc>
          <w:tcPr>
            <w:tcW w:w="4473" w:type="pct"/>
            <w:vAlign w:val="center"/>
          </w:tcPr>
          <w:p w14:paraId="54A83A57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cs="宋体"/>
                <w:kern w:val="2"/>
                <w:szCs w:val="21"/>
              </w:rPr>
              <w:t>具备对医生的绩效统计以及各个绩效维度进行排名展示</w:t>
            </w:r>
          </w:p>
        </w:tc>
      </w:tr>
      <w:tr w14:paraId="0C7D2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26" w:type="pct"/>
            <w:vAlign w:val="center"/>
          </w:tcPr>
          <w:p w14:paraId="42DA8E6B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cs="宋体"/>
                <w:color w:val="000000"/>
                <w:szCs w:val="21"/>
              </w:rPr>
              <w:t>7</w:t>
            </w:r>
          </w:p>
        </w:tc>
        <w:tc>
          <w:tcPr>
            <w:tcW w:w="4473" w:type="pct"/>
            <w:vAlign w:val="center"/>
          </w:tcPr>
          <w:p w14:paraId="01B2C48B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具备统计医生的达盲率、有效退镜时间＞6分钟比例、息肉检出率、腺瘤检出率等肠镜质控指标功能</w:t>
            </w:r>
          </w:p>
        </w:tc>
      </w:tr>
      <w:tr w14:paraId="50C2B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146DEB54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cs="宋体"/>
                <w:color w:val="000000"/>
                <w:szCs w:val="21"/>
              </w:rPr>
              <w:t>8</w:t>
            </w:r>
          </w:p>
        </w:tc>
        <w:tc>
          <w:tcPr>
            <w:tcW w:w="4473" w:type="pct"/>
            <w:vAlign w:val="center"/>
          </w:tcPr>
          <w:p w14:paraId="210B1D72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具备查看质控指标历史分析数据功能</w:t>
            </w:r>
          </w:p>
        </w:tc>
      </w:tr>
      <w:tr w14:paraId="19647F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5957226A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cs="宋体"/>
                <w:color w:val="000000"/>
                <w:szCs w:val="21"/>
              </w:rPr>
              <w:t>9</w:t>
            </w:r>
          </w:p>
        </w:tc>
        <w:tc>
          <w:tcPr>
            <w:tcW w:w="4473" w:type="pct"/>
            <w:vAlign w:val="center"/>
          </w:tcPr>
          <w:p w14:paraId="13B75809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具备统计指定时间内的质控月报、季报、年报功能</w:t>
            </w:r>
          </w:p>
        </w:tc>
      </w:tr>
      <w:tr w14:paraId="14A33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0772ABB2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cs="宋体"/>
                <w:color w:val="000000"/>
                <w:szCs w:val="21"/>
              </w:rPr>
              <w:t>10</w:t>
            </w:r>
          </w:p>
        </w:tc>
        <w:tc>
          <w:tcPr>
            <w:tcW w:w="4473" w:type="pct"/>
            <w:vAlign w:val="center"/>
          </w:tcPr>
          <w:p w14:paraId="415D6FD7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具备统计指定时间内诊室手术检查量功能</w:t>
            </w:r>
          </w:p>
        </w:tc>
      </w:tr>
      <w:tr w14:paraId="30C49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26" w:type="pct"/>
            <w:vAlign w:val="center"/>
          </w:tcPr>
          <w:p w14:paraId="40E890E1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cs="宋体"/>
                <w:color w:val="000000"/>
                <w:szCs w:val="21"/>
              </w:rPr>
              <w:t>11</w:t>
            </w:r>
          </w:p>
        </w:tc>
        <w:tc>
          <w:tcPr>
            <w:tcW w:w="4473" w:type="pct"/>
            <w:vAlign w:val="center"/>
          </w:tcPr>
          <w:p w14:paraId="6EDADE67">
            <w:pPr>
              <w:rPr>
                <w:rFonts w:hint="eastAsia" w:ascii="宋体" w:hAnsi="宋体" w:eastAsia="宋体" w:cs="宋体"/>
                <w:color w:val="000000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Cs w:val="21"/>
              </w:rPr>
              <w:t>具备指定时间内按月查看科室的检查量、胃早癌检出率、息肉检出率、腺瘤检出率等指标变化趋势，并在液晶电视上显示的功能</w:t>
            </w:r>
          </w:p>
        </w:tc>
      </w:tr>
      <w:tr w14:paraId="5C0797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69820F0E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cs="宋体"/>
                <w:color w:val="000000"/>
                <w:szCs w:val="21"/>
              </w:rPr>
              <w:t>12</w:t>
            </w:r>
          </w:p>
        </w:tc>
        <w:tc>
          <w:tcPr>
            <w:tcW w:w="4473" w:type="pct"/>
            <w:vAlign w:val="center"/>
          </w:tcPr>
          <w:p w14:paraId="3EE34483">
            <w:pPr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Cs w:val="21"/>
              </w:rPr>
              <w:t>具备显示并导出检查过程中部位截图和病变截图的功能</w:t>
            </w:r>
          </w:p>
        </w:tc>
      </w:tr>
      <w:tr w14:paraId="3726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38B93B9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5</w:t>
            </w:r>
          </w:p>
        </w:tc>
        <w:tc>
          <w:tcPr>
            <w:tcW w:w="4473" w:type="pct"/>
            <w:vAlign w:val="center"/>
          </w:tcPr>
          <w:p w14:paraId="1A037D3D">
            <w:pPr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配置清单</w:t>
            </w:r>
          </w:p>
        </w:tc>
      </w:tr>
      <w:tr w14:paraId="6F675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192CCD07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5.1</w:t>
            </w:r>
          </w:p>
        </w:tc>
        <w:tc>
          <w:tcPr>
            <w:tcW w:w="4473" w:type="pct"/>
            <w:vAlign w:val="center"/>
          </w:tcPr>
          <w:p w14:paraId="660366A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消化内镜医学图像处理软件</w:t>
            </w:r>
            <w:r>
              <w:rPr>
                <w:rFonts w:hint="eastAsia" w:cs="宋体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Cs w:val="21"/>
              </w:rPr>
              <w:t>套</w:t>
            </w:r>
          </w:p>
        </w:tc>
      </w:tr>
      <w:tr w14:paraId="12D61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0BDF7C27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5.2</w:t>
            </w:r>
          </w:p>
        </w:tc>
        <w:tc>
          <w:tcPr>
            <w:tcW w:w="4473" w:type="pct"/>
            <w:vAlign w:val="center"/>
          </w:tcPr>
          <w:p w14:paraId="7479950B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消化内镜质控管理平台软件1套</w:t>
            </w:r>
          </w:p>
        </w:tc>
      </w:tr>
      <w:tr w14:paraId="555A7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pct"/>
            <w:vAlign w:val="center"/>
          </w:tcPr>
          <w:p w14:paraId="07EC796E">
            <w:pPr>
              <w:jc w:val="center"/>
              <w:rPr>
                <w:rFonts w:hint="eastAsia" w:ascii="宋体" w:hAnsi="宋体" w:eastAsia="宋体" w:cs="宋体"/>
                <w:kern w:val="2"/>
              </w:rPr>
            </w:pPr>
            <w:r>
              <w:rPr>
                <w:rFonts w:hint="eastAsia" w:ascii="宋体" w:hAnsi="宋体" w:cs="宋体"/>
                <w:b/>
                <w:bCs/>
              </w:rPr>
              <w:t>6</w:t>
            </w:r>
          </w:p>
        </w:tc>
        <w:tc>
          <w:tcPr>
            <w:tcW w:w="4473" w:type="pct"/>
            <w:vAlign w:val="center"/>
          </w:tcPr>
          <w:p w14:paraId="55F5FBBB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b/>
                <w:kern w:val="2"/>
              </w:rPr>
            </w:pPr>
            <w:r>
              <w:rPr>
                <w:rFonts w:hint="eastAsia" w:ascii="宋体" w:hAnsi="宋体" w:cs="宋体"/>
                <w:b/>
              </w:rPr>
              <w:t>安装验收</w:t>
            </w:r>
          </w:p>
        </w:tc>
      </w:tr>
      <w:tr w14:paraId="554D5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4D888FB9">
            <w:pPr>
              <w:jc w:val="center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6.1</w:t>
            </w:r>
          </w:p>
        </w:tc>
        <w:tc>
          <w:tcPr>
            <w:tcW w:w="0" w:type="auto"/>
            <w:vAlign w:val="center"/>
          </w:tcPr>
          <w:p w14:paraId="38396E15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安装地点：医院内镜中心</w:t>
            </w:r>
          </w:p>
        </w:tc>
      </w:tr>
      <w:tr w14:paraId="4839B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0" w:type="auto"/>
            <w:vAlign w:val="center"/>
          </w:tcPr>
          <w:p w14:paraId="1FAD4428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6.2</w:t>
            </w:r>
          </w:p>
        </w:tc>
        <w:tc>
          <w:tcPr>
            <w:tcW w:w="0" w:type="auto"/>
            <w:vAlign w:val="center"/>
          </w:tcPr>
          <w:p w14:paraId="0903245A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维修响应时间</w:t>
            </w:r>
            <w:r>
              <w:rPr>
                <w:rFonts w:hint="eastAsia" w:ascii="宋体" w:hAnsi="宋体" w:eastAsia="宋体" w:cs="宋体"/>
                <w:szCs w:val="21"/>
              </w:rPr>
              <w:t>≤2小时，到场时间≤24小时，具体说明实现上述承诺的保障措施（维修机构、人员配置、备机等情况）；在保修期内确保年开机率达到≥95%（按365天计算）。若开机率低于95%,每超过1天保修期相应延长10天。</w:t>
            </w:r>
          </w:p>
        </w:tc>
      </w:tr>
      <w:tr w14:paraId="15E6DB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0" w:type="auto"/>
            <w:vAlign w:val="center"/>
          </w:tcPr>
          <w:p w14:paraId="770DA486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▲6.3</w:t>
            </w:r>
          </w:p>
        </w:tc>
        <w:tc>
          <w:tcPr>
            <w:tcW w:w="0" w:type="auto"/>
            <w:vAlign w:val="center"/>
          </w:tcPr>
          <w:p w14:paraId="0B81EFCF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提供仪器的详细配置清单及配件，可选配件清单及价格</w:t>
            </w:r>
          </w:p>
        </w:tc>
      </w:tr>
      <w:tr w14:paraId="618696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0F6F745A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6.4</w:t>
            </w:r>
          </w:p>
        </w:tc>
        <w:tc>
          <w:tcPr>
            <w:tcW w:w="0" w:type="auto"/>
            <w:vAlign w:val="center"/>
          </w:tcPr>
          <w:p w14:paraId="57A38537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提供用户操作手册</w:t>
            </w:r>
          </w:p>
        </w:tc>
      </w:tr>
      <w:tr w14:paraId="77BE7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70E4A7F5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6.5</w:t>
            </w:r>
          </w:p>
        </w:tc>
        <w:tc>
          <w:tcPr>
            <w:tcW w:w="0" w:type="auto"/>
            <w:vAlign w:val="center"/>
          </w:tcPr>
          <w:p w14:paraId="681BF398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提供同类产品的近期用户名单</w:t>
            </w:r>
          </w:p>
        </w:tc>
      </w:tr>
      <w:tr w14:paraId="5F2AC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1784D20B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6.6</w:t>
            </w:r>
          </w:p>
        </w:tc>
        <w:tc>
          <w:tcPr>
            <w:tcW w:w="0" w:type="auto"/>
            <w:vAlign w:val="center"/>
          </w:tcPr>
          <w:p w14:paraId="0EBE57E9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提供软件免费升级，未在招标文件单独列出选配件都视为标准配置（包含软硬件）</w:t>
            </w:r>
          </w:p>
        </w:tc>
      </w:tr>
      <w:tr w14:paraId="2A20A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0" w:type="auto"/>
            <w:vAlign w:val="center"/>
          </w:tcPr>
          <w:p w14:paraId="6F3D4B25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6.7</w:t>
            </w:r>
          </w:p>
        </w:tc>
        <w:tc>
          <w:tcPr>
            <w:tcW w:w="0" w:type="auto"/>
            <w:vAlign w:val="center"/>
          </w:tcPr>
          <w:p w14:paraId="282369AE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在投标时如实提供响应标书的完全配置，不得欺骗、隐瞒，投标后对标书响应内容，不得以任何理由加价，标书作为合同的一部分，具有相同的法律效果</w:t>
            </w:r>
          </w:p>
        </w:tc>
      </w:tr>
      <w:tr w14:paraId="60EEC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0" w:type="auto"/>
            <w:vAlign w:val="center"/>
          </w:tcPr>
          <w:p w14:paraId="68D97F54">
            <w:pPr>
              <w:jc w:val="center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6.8</w:t>
            </w:r>
          </w:p>
        </w:tc>
        <w:tc>
          <w:tcPr>
            <w:tcW w:w="0" w:type="auto"/>
            <w:vAlign w:val="center"/>
          </w:tcPr>
          <w:p w14:paraId="55E2AA0E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验收标准：应与产品原始样本技术数据及标书技术文件一致，应符合国家有关技术规范和技术标准。</w:t>
            </w:r>
          </w:p>
        </w:tc>
      </w:tr>
      <w:tr w14:paraId="69455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197687DA">
            <w:pPr>
              <w:jc w:val="center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★</w:t>
            </w:r>
            <w:r>
              <w:rPr>
                <w:rFonts w:hint="eastAsia" w:ascii="宋体" w:hAnsi="宋体" w:cs="宋体"/>
                <w:szCs w:val="21"/>
              </w:rPr>
              <w:t>6.9</w:t>
            </w:r>
          </w:p>
        </w:tc>
        <w:tc>
          <w:tcPr>
            <w:tcW w:w="0" w:type="auto"/>
            <w:vAlign w:val="center"/>
          </w:tcPr>
          <w:p w14:paraId="68D8BA5B">
            <w:pPr>
              <w:widowControl/>
              <w:snapToGrid w:val="0"/>
              <w:rPr>
                <w:rFonts w:hint="eastAsia" w:ascii="宋体" w:hAnsi="宋体"/>
                <w:bCs/>
                <w:kern w:val="2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安装验收前产生的一切费用由供方承担。</w:t>
            </w:r>
          </w:p>
        </w:tc>
      </w:tr>
      <w:tr w14:paraId="58327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1096BDD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7</w:t>
            </w:r>
          </w:p>
        </w:tc>
        <w:tc>
          <w:tcPr>
            <w:tcW w:w="0" w:type="auto"/>
            <w:vAlign w:val="center"/>
          </w:tcPr>
          <w:p w14:paraId="469B0B79">
            <w:pPr>
              <w:widowControl/>
              <w:snapToGrid w:val="0"/>
              <w:rPr>
                <w:rFonts w:hint="eastAsia" w:ascii="宋体" w:hAnsi="宋体" w:cs="宋体"/>
                <w:b/>
                <w:bCs/>
                <w:kern w:val="2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zh-CN"/>
              </w:rPr>
              <w:t>培训</w:t>
            </w:r>
          </w:p>
        </w:tc>
      </w:tr>
      <w:tr w14:paraId="30626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0E5DE29B">
            <w:pPr>
              <w:jc w:val="center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7.1</w:t>
            </w:r>
          </w:p>
        </w:tc>
        <w:tc>
          <w:tcPr>
            <w:tcW w:w="0" w:type="auto"/>
            <w:vAlign w:val="center"/>
          </w:tcPr>
          <w:p w14:paraId="62637E70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免费提供操作培训及维修培训，操作人员培训完成后，必须考核并有记录</w:t>
            </w:r>
          </w:p>
        </w:tc>
      </w:tr>
      <w:tr w14:paraId="22218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15D49A40">
            <w:pPr>
              <w:jc w:val="center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7.2</w:t>
            </w:r>
          </w:p>
        </w:tc>
        <w:tc>
          <w:tcPr>
            <w:tcW w:w="0" w:type="auto"/>
            <w:vAlign w:val="center"/>
          </w:tcPr>
          <w:p w14:paraId="64511C97">
            <w:pPr>
              <w:widowControl/>
              <w:snapToGrid w:val="0"/>
              <w:spacing w:before="100" w:beforeAutospacing="1" w:after="100" w:afterAutospacing="1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免费提供各种相关科普信息及技术发展动态信息</w:t>
            </w:r>
          </w:p>
        </w:tc>
      </w:tr>
      <w:tr w14:paraId="516834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55F5B90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8</w:t>
            </w:r>
          </w:p>
        </w:tc>
        <w:tc>
          <w:tcPr>
            <w:tcW w:w="0" w:type="auto"/>
            <w:vAlign w:val="center"/>
          </w:tcPr>
          <w:p w14:paraId="305480E6">
            <w:pPr>
              <w:widowControl/>
              <w:snapToGrid w:val="0"/>
              <w:rPr>
                <w:rFonts w:hint="eastAsia" w:ascii="宋体" w:hAnsi="宋体" w:eastAsia="宋体" w:cs="宋体"/>
                <w:b/>
                <w:bCs/>
                <w:kern w:val="2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其他要求</w:t>
            </w:r>
          </w:p>
        </w:tc>
      </w:tr>
      <w:tr w14:paraId="4C8DB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7CB0DFDF">
            <w:pPr>
              <w:jc w:val="center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★</w:t>
            </w:r>
            <w:r>
              <w:rPr>
                <w:rFonts w:hint="eastAsia" w:ascii="宋体" w:hAnsi="宋体" w:cs="宋体"/>
                <w:szCs w:val="21"/>
              </w:rPr>
              <w:t>8.1</w:t>
            </w:r>
          </w:p>
        </w:tc>
        <w:tc>
          <w:tcPr>
            <w:tcW w:w="0" w:type="auto"/>
            <w:vAlign w:val="center"/>
          </w:tcPr>
          <w:p w14:paraId="170A2904">
            <w:pPr>
              <w:spacing w:line="4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供应商为医疗器械生产企业的：第二类、第三类医疗器械生产企业提供《医疗器械生产许可证》复印件、第一类医疗器械生产企业提供第一类医疗器械生产备案凭证复印件；供应商为医疗器械经营企业的：第三类医疗器械经营企业提供《医疗器械经营许可证》复印件、第二类医疗器械经营企业提供第二类医疗器械经营备案凭证复印件；（适用于按医疗器械管理的货物）。</w:t>
            </w:r>
          </w:p>
          <w:p w14:paraId="74A7F183">
            <w:pPr>
              <w:spacing w:line="400" w:lineRule="exact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（2）医疗器械注册证。</w:t>
            </w:r>
          </w:p>
        </w:tc>
      </w:tr>
      <w:tr w14:paraId="03726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vAlign w:val="center"/>
          </w:tcPr>
          <w:p w14:paraId="233D3816">
            <w:pPr>
              <w:jc w:val="center"/>
              <w:rPr>
                <w:rFonts w:hint="eastAsia" w:ascii="宋体" w:hAnsi="宋体" w:eastAsia="宋体" w:cs="宋体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★</w:t>
            </w:r>
            <w:r>
              <w:rPr>
                <w:rFonts w:hint="eastAsia" w:ascii="宋体" w:hAnsi="宋体" w:cs="宋体"/>
                <w:szCs w:val="21"/>
              </w:rPr>
              <w:t>8.2</w:t>
            </w:r>
          </w:p>
        </w:tc>
        <w:tc>
          <w:tcPr>
            <w:tcW w:w="0" w:type="auto"/>
            <w:vAlign w:val="center"/>
          </w:tcPr>
          <w:p w14:paraId="58A7B4A5">
            <w:pPr>
              <w:spacing w:line="38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（1）货物生产日期：货物到达买方机房之日前6个月内（以产品标签、标识为准）；货物无使用期限限制的，货物到达买方机房之日前12个月内。</w:t>
            </w:r>
          </w:p>
          <w:p w14:paraId="62103968">
            <w:pPr>
              <w:spacing w:line="380" w:lineRule="exact"/>
              <w:rPr>
                <w:rFonts w:hint="eastAsia" w:ascii="宋体" w:hAnsi="宋体" w:cs="宋体"/>
                <w:kern w:val="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（2）货物使用期限：自货物生产日期起，不少于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年；提供铭牌标识照片或说明书相关页面复印件；货物无使用期限的，提供说明。</w:t>
            </w:r>
            <w:r>
              <w:rPr>
                <w:rFonts w:hint="eastAsia"/>
                <w:color w:val="000000"/>
              </w:rPr>
              <w:t>履约验收时发现实际提供产品与投标承诺不符，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视为虚假应标。</w:t>
            </w:r>
          </w:p>
        </w:tc>
      </w:tr>
      <w:bookmarkEnd w:id="11"/>
      <w:bookmarkEnd w:id="17"/>
    </w:tbl>
    <w:p w14:paraId="722B942D">
      <w:pPr>
        <w:spacing w:before="120" w:after="120" w:line="360" w:lineRule="auto"/>
        <w:ind w:firstLine="420" w:firstLineChars="200"/>
        <w:jc w:val="left"/>
        <w:rPr>
          <w:rFonts w:hint="eastAsia" w:ascii="宋体" w:hAnsi="宋体" w:eastAsia="宋体" w:cs="宋体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splitPgBreakAndParaMark/>
    <w:compatSetting w:name="compatibilityMode" w:uri="http://schemas.microsoft.com/office/word" w:val="12"/>
  </w:compat>
  <w:rsids>
    <w:rsidRoot w:val="00DD266B"/>
    <w:rsid w:val="00085989"/>
    <w:rsid w:val="00292B6A"/>
    <w:rsid w:val="00654FCA"/>
    <w:rsid w:val="008E4BDE"/>
    <w:rsid w:val="00DD266B"/>
    <w:rsid w:val="00E20398"/>
    <w:rsid w:val="03D90444"/>
    <w:rsid w:val="08535187"/>
    <w:rsid w:val="0E1446AE"/>
    <w:rsid w:val="0EDD48DA"/>
    <w:rsid w:val="151C4634"/>
    <w:rsid w:val="16D52CED"/>
    <w:rsid w:val="182C2DE0"/>
    <w:rsid w:val="183A54FD"/>
    <w:rsid w:val="1A4C5485"/>
    <w:rsid w:val="1E434545"/>
    <w:rsid w:val="260F1BFD"/>
    <w:rsid w:val="2B717030"/>
    <w:rsid w:val="2B724B56"/>
    <w:rsid w:val="2FD923D7"/>
    <w:rsid w:val="31AF440F"/>
    <w:rsid w:val="32026C34"/>
    <w:rsid w:val="33CB12A8"/>
    <w:rsid w:val="35E11256"/>
    <w:rsid w:val="37386C54"/>
    <w:rsid w:val="378B6CBD"/>
    <w:rsid w:val="37FC73E0"/>
    <w:rsid w:val="3BBD3BCC"/>
    <w:rsid w:val="3D1617E6"/>
    <w:rsid w:val="3D281519"/>
    <w:rsid w:val="41C51A2C"/>
    <w:rsid w:val="4CB60BAC"/>
    <w:rsid w:val="4DC00818"/>
    <w:rsid w:val="4EA2112B"/>
    <w:rsid w:val="504306EC"/>
    <w:rsid w:val="51BE4C6C"/>
    <w:rsid w:val="51E25CE3"/>
    <w:rsid w:val="544F3B03"/>
    <w:rsid w:val="545A6004"/>
    <w:rsid w:val="583059FA"/>
    <w:rsid w:val="58692726"/>
    <w:rsid w:val="5DA74BE5"/>
    <w:rsid w:val="5EEF082A"/>
    <w:rsid w:val="628C5F22"/>
    <w:rsid w:val="63996C58"/>
    <w:rsid w:val="656E5DB3"/>
    <w:rsid w:val="66A43237"/>
    <w:rsid w:val="6C4A6B37"/>
    <w:rsid w:val="6D4713C4"/>
    <w:rsid w:val="729D55E2"/>
    <w:rsid w:val="73217FC1"/>
    <w:rsid w:val="75A31161"/>
    <w:rsid w:val="76CD220E"/>
    <w:rsid w:val="785E3A65"/>
    <w:rsid w:val="793F73F3"/>
    <w:rsid w:val="7C574A54"/>
    <w:rsid w:val="7F7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99"/>
    <w:pPr>
      <w:spacing w:line="380" w:lineRule="exact"/>
      <w:ind w:firstLine="480"/>
    </w:pPr>
    <w:rPr>
      <w:rFonts w:eastAsia="方正书宋简体"/>
      <w:sz w:val="24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next w:val="1"/>
    <w:unhideWhenUsed/>
    <w:qFormat/>
    <w:uiPriority w:val="99"/>
    <w:pPr>
      <w:spacing w:after="120"/>
      <w:ind w:left="420" w:leftChars="200" w:firstLine="420"/>
    </w:pPr>
  </w:style>
  <w:style w:type="character" w:customStyle="1" w:styleId="9">
    <w:name w:val="页眉 字符"/>
    <w:basedOn w:val="8"/>
    <w:link w:val="5"/>
    <w:uiPriority w:val="0"/>
    <w:rPr>
      <w:sz w:val="18"/>
      <w:szCs w:val="18"/>
    </w:rPr>
  </w:style>
  <w:style w:type="character" w:customStyle="1" w:styleId="10">
    <w:name w:val="页脚 字符"/>
    <w:basedOn w:val="8"/>
    <w:link w:val="4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3622</Words>
  <Characters>3753</Characters>
  <Lines>42</Lines>
  <Paragraphs>11</Paragraphs>
  <TotalTime>11</TotalTime>
  <ScaleCrop>false</ScaleCrop>
  <LinksUpToDate>false</LinksUpToDate>
  <CharactersWithSpaces>3836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2026-04-13T03:20:00Z</dcterms:created>
  <dc:creator>Apache POI</dc:creator>
  <cp:lastModifiedBy>橘子桔子橘</cp:lastModifiedBy>
  <dcterms:modified xsi:type="dcterms:W3CDTF">2026-05-25T02:09:36Z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eyJoZGlkIjoiMzMzOTZkYzcxNDYwZTJjZDg0YTk4ZjBlN2Q3ZGNmZjQiLCJ1c2VySWQiOiIxMDE1NDUyMDMwIn0=</vt:lpwstr>
  </property>
  <property fmtid="{D5CDD505-2E9C-101B-9397-08002B2CF9AE}" pid="3" name="KSOProductBuildVer">
    <vt:lpwstr>2052-12.1.0.26375</vt:lpwstr>
  </property>
  <property fmtid="{D5CDD505-2E9C-101B-9397-08002B2CF9AE}" pid="4" name="ICV">
    <vt:lpwstr>8EA41F7CB5D64CD0A19CCDD7A4BECC39_12</vt:lpwstr>
  </property>
</Properties>
</file>