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EC5C1">
      <w:pPr>
        <w:jc w:val="center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color w:val="auto"/>
          <w:sz w:val="28"/>
          <w:lang w:val="en-US" w:eastAsia="zh-CN"/>
        </w:rPr>
        <w:t>急性缺血性脑卒中组织窗评估</w:t>
      </w:r>
      <w:r>
        <w:rPr>
          <w:rFonts w:hint="eastAsia" w:ascii="仿宋" w:hAnsi="仿宋" w:eastAsia="仿宋" w:cs="仿宋"/>
          <w:b/>
          <w:color w:val="auto"/>
          <w:sz w:val="28"/>
        </w:rPr>
        <w:t>软件</w:t>
      </w:r>
      <w:r>
        <w:rPr>
          <w:rFonts w:hint="eastAsia" w:ascii="仿宋" w:hAnsi="仿宋" w:eastAsia="仿宋" w:cs="仿宋"/>
          <w:b/>
          <w:color w:val="auto"/>
          <w:sz w:val="28"/>
          <w:lang w:val="en-US" w:eastAsia="zh-CN"/>
        </w:rPr>
        <w:t>需求参数要求</w:t>
      </w:r>
    </w:p>
    <w:bookmarkEnd w:id="0"/>
    <w:tbl>
      <w:tblPr>
        <w:tblStyle w:val="8"/>
        <w:tblpPr w:leftFromText="181" w:rightFromText="181" w:vertAnchor="text" w:horzAnchor="page" w:tblpX="953" w:tblpY="1"/>
        <w:tblOverlap w:val="never"/>
        <w:tblW w:w="10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612"/>
        <w:gridCol w:w="7301"/>
      </w:tblGrid>
      <w:tr w14:paraId="7AA18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3E602034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序号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24DEDD3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功能模块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49378C1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规格参数</w:t>
            </w:r>
          </w:p>
        </w:tc>
      </w:tr>
      <w:tr w14:paraId="53630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2A66AE5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4DBA21C6">
            <w:pPr>
              <w:pStyle w:val="2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DICOM传输及任务管理</w:t>
            </w:r>
          </w:p>
        </w:tc>
      </w:tr>
      <w:tr w14:paraId="3358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4154D46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1.1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36F71A5A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DICOM传输接口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5809994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能通过DICOM协议，自动接收CT、MR的DICOM图像,以及能推送DICOM图像到PACS系统。</w:t>
            </w:r>
          </w:p>
        </w:tc>
      </w:tr>
      <w:tr w14:paraId="7ABD3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1E4D82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1.2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6E4CCD0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DICOM管理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068DA0C4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能管理接收的DICOM图像：按照STUDY-SERIES的层级结构显示数据内容、可移除选中的数据、能搜索数据信息；</w:t>
            </w:r>
          </w:p>
        </w:tc>
      </w:tr>
      <w:tr w14:paraId="631F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3E3E11C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2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1FFB5A0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任务管理</w:t>
            </w:r>
          </w:p>
        </w:tc>
      </w:tr>
      <w:tr w14:paraId="69BB0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05B082A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2.1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0CA3CA2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任务列表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3142C64C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任务以列表方式显示，在任务主表中选中一条任务后，应进一步显示该任务的详细信息，包括关联的原始图像的序列名，UID，扫描日期，如已有处理结果还应显示处理结果。还应显示其关联图像的缩略图。在其任务详细信息中选中序列UID，应显示该序列所有图像的缩略图。</w:t>
            </w:r>
          </w:p>
        </w:tc>
      </w:tr>
      <w:tr w14:paraId="50694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875B189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2.2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559C285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任务查询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4AFD7FAF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可以通过查询特定字段在任务列表中搜索相应记录。</w:t>
            </w:r>
          </w:p>
        </w:tc>
      </w:tr>
      <w:tr w14:paraId="4FB4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24812F7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21CE78CC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CT动态灌注数据的处理</w:t>
            </w:r>
          </w:p>
        </w:tc>
      </w:tr>
      <w:tr w14:paraId="1A832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3CCAE698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3.1▲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07463E4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CT灌注数据的计算和标注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6F52285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可计算脑血流体积(Cerebral Blood Volume, CBV)、脑血流速率(Cerebral Blood Flow，CBF)、残余功能函数最大时间（Time to Maximum Enhancement, TMAX）及平均输送时间(Mean Transit Time, MTT)。并按照Tmax参数图中大于6秒的阈值标注Tmax图像，脑血流速率CBF参数图中小于30%的阈值标注CBF图像，联合Tmax&gt;6s区域体积和CBF&lt;30%区域体积进行错配分析，标记的图像和分析的结果保存为DICOM格式的报告。计算和标注自动化完成。</w:t>
            </w:r>
          </w:p>
        </w:tc>
      </w:tr>
      <w:tr w14:paraId="7EF8F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6B2DFA68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3.2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5DEC5EEA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CT灌注参数图的多阈值分析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50023004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按照残余功能函数最大时间Tmax参数图中大于4秒、6秒、8秒、10秒的阈值标注Tmax图像，按照脑血流速率CBF参数图中小于20%、30%、34%、38%、50%的阈值标注CBF图像，将标记后的图像和计算的结果保存为DICOM格式的报告。计算和标注自动化完成。</w:t>
            </w:r>
          </w:p>
        </w:tc>
      </w:tr>
      <w:tr w14:paraId="5C1C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6415232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3.3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63171E2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CT灌注数据的科研参数计算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083B9A1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可计算Tmax&gt;10s区域体积占Tmax&gt;6s区域体积比值。</w:t>
            </w:r>
          </w:p>
          <w:p w14:paraId="5193768F">
            <w:pPr>
              <w:pStyle w:val="2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可计算Tmax&gt;6s区域内CBV平均值占正常值的百分比</w:t>
            </w:r>
          </w:p>
        </w:tc>
      </w:tr>
      <w:tr w14:paraId="2E38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512CD8F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3.4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1A31196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Tmax&gt;6s标注的脑区分析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4C25086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可统计Tmax&gt;6s的区域在以下大脑供血区左右侧的分布（体积及占比）：M1,M2, M3,M4, M5,M6,脑岛，豆状核，内囊，尾状核，延髓，脑桥，中脑，丘脑，小脑，PCA, ACA，将该结果以图标形式保存为DICOM格式的报告。</w:t>
            </w:r>
          </w:p>
        </w:tc>
      </w:tr>
      <w:tr w14:paraId="107F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76FE7B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3.5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1B1A688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CBF&lt;30%标注的脑区分析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5F27AF5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可统计CBF&lt;30%的区域在以下大脑供血区左右侧的分布（体积及占比）：M1,M2, M3,M4, M5,M6,脑岛，豆状核，内囊，尾状核，延髓，脑桥，中脑，丘脑，小脑，PCA, ACA，将该结果以图标形式保存为DICOM格式的报告。</w:t>
            </w:r>
          </w:p>
        </w:tc>
      </w:tr>
      <w:tr w14:paraId="64EA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3C0DC3D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3.6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771EE7E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灌注参数图的脑区分析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77B48F4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可统计CBV、CBF、TMAX及MTT图在以下大脑供血区左右侧的四分位数：M1,M2, M3,M4, M5,M6,脑岛，豆状核，内囊，尾状核，延髓，脑桥，中脑，丘脑，小脑，PCA, ACA。</w:t>
            </w:r>
          </w:p>
        </w:tc>
      </w:tr>
      <w:tr w14:paraId="175CE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3F040B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3.7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2F0B716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动脉的MIP图像显示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62AAFC95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以轴状位分层显示动脉期最大密度投影的血管图，并可通过薄层CTP数据重建CTA效果。</w:t>
            </w:r>
          </w:p>
        </w:tc>
      </w:tr>
      <w:tr w14:paraId="2CB7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090E4999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46A8C88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CT平扫处理</w:t>
            </w:r>
          </w:p>
        </w:tc>
      </w:tr>
      <w:tr w14:paraId="44B46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6FB4EBF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4.1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7EE8975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CT平扫区域标注及统计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110ED839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自动将脑部平扫CT图像大脑中动脉供血区分左右半脑标注为M1,M2, M3,M4, M5,M6,C,IC,I,L区域，并统计所标注区域内图像的均值，单位为(HU)。标注和统计自动化完成。</w:t>
            </w:r>
          </w:p>
        </w:tc>
      </w:tr>
      <w:tr w14:paraId="44610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1F97681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4.2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7FC79B68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CT平扫低密度影分割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633A736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在脑部平扫CT图像上自动分割标注出低密度影，并计算其体积。</w:t>
            </w:r>
          </w:p>
        </w:tc>
      </w:tr>
      <w:tr w14:paraId="5760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58D62C1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4.3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2B655DD2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低密度影区域的脑区分析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6ACD0C5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可统计低密度影在以下大脑供血区左右侧的分布（体积及占比）：MCA，PCA, ACA，将该结果保存为DICOM格式的报告</w:t>
            </w:r>
          </w:p>
        </w:tc>
      </w:tr>
      <w:tr w14:paraId="260D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D3AF0A2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default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4.4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4FC81E4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低密度影区域的灰度值分析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4C68AB5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可分别统计低密度区域内灰度值&lt;=24,&lt;=26,&lt;=28,&lt;=30的体积及百分比。</w:t>
            </w:r>
          </w:p>
        </w:tc>
      </w:tr>
      <w:tr w14:paraId="17AC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2C42F00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4.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64EF65B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CT平扫水摄取分数计算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03A5A87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在计算脑部平扫CT上低密度影的水摄取分数(Net Water Uptake, NWU)。</w:t>
            </w:r>
          </w:p>
        </w:tc>
      </w:tr>
      <w:tr w14:paraId="2CF6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13CF9950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4.</w:t>
            </w: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1E395EB8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CT平扫脑中线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19F37C5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自动提取CT图像的脑中线</w:t>
            </w:r>
          </w:p>
        </w:tc>
      </w:tr>
      <w:tr w14:paraId="6584C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B04880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3226127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磁共振弥散及灌注数据的处理</w:t>
            </w:r>
          </w:p>
        </w:tc>
      </w:tr>
      <w:tr w14:paraId="66361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4C5649E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5.1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4743D28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磁共振弥散影像的计算和标注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31B65775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可基于磁共振弥散影像（DWI）计算表观扩散系数(Apparent Diffusion Coefficient, ADC)，并以伪彩色标注弥散ADC小于620的区域。</w:t>
            </w:r>
          </w:p>
        </w:tc>
      </w:tr>
      <w:tr w14:paraId="544F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2CA7AC42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5.2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06BE388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弥散影像的脑区统计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56B6929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可统计ADC小于620的区域在以下大脑供血区左右侧的分布（占比）：M1,M2, M3,M4, M5,M6,脑岛，豆状核，内囊，尾状核，延髓，脑桥，中脑，丘脑，小脑，PCA, ACA，将该结果以图表形式保存为DICOM。</w:t>
            </w:r>
          </w:p>
        </w:tc>
      </w:tr>
      <w:tr w14:paraId="41814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5459A40C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5.3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2F538BC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磁共振弥散影像联合灌注影像的计算和标注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3968D2E4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可基于磁共振灌注影像（PWI）计算脑血流体积(Cerebral Blood Volume, CBV)、脑血流速率(Cerebral Blood Flow，CBF)、残余功能函数最大时间（Time to Maximum Enhancement, TMAX）及平均输送时间(Mean Transit Time, MTT)。交叉配准磁共振弥散-灌注数据，并以伪彩色同时标注弥散ADC小于620的区域及灌注TMAX大于6秒的区域。</w:t>
            </w:r>
          </w:p>
        </w:tc>
      </w:tr>
      <w:tr w14:paraId="4FB32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51EB88F2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5.4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53F17B4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磁共振弥散影像联合单/多动脉自旋标记影像的脑血流速率计算和标注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7212A0E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可基于单/多标记后延迟时间动脉自旋标记影像（ASL）计算脑血流速率 (Cerebral Blood Flow，CBF)。交叉配准磁共振弥散-单/多标记后延迟时间动脉自旋标记数据，并以伪彩色同时标注弥散ADC小于620的区域及CBF小于40%的区域。</w:t>
            </w:r>
          </w:p>
        </w:tc>
      </w:tr>
      <w:tr w14:paraId="7E9C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7C8C1B5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5.5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14C96DF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多标记后延迟时间动脉自旋标记影像的动脉通过时间计算和标注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76FAC468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可基于多标记后延迟时间动脉自旋标记影像（ASL）计算动脉通过时间（Arterial Transit Time, ATT），并以伪彩色同时标注ATT大于1.9s、2.2s、2.5s的区域。</w:t>
            </w:r>
          </w:p>
        </w:tc>
      </w:tr>
      <w:tr w14:paraId="1823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236BDF1B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5.6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071F7CB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多标记后延迟时间动脉自旋标记影像的脑血流体积计算和标注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41FAE1FF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可基于多标记后延迟时间动脉自旋标记影像（ASL）计算脑血流体积(Cerebral Blood Volume, CBV)，并以伪彩色同时标注CBV小于30%、40%、50%的区域。</w:t>
            </w:r>
          </w:p>
        </w:tc>
      </w:tr>
      <w:tr w14:paraId="048AF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40B5CA0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282F606C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科研功能</w:t>
            </w:r>
          </w:p>
        </w:tc>
      </w:tr>
      <w:tr w14:paraId="299C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099E264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6.1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312766F7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随访磁共振影像配准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6CD73C1A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将随访磁共振DWI影像配准到基线CT灌注影像，并同时标注随访磁共振ADC&lt;620区域，基线CT灌注CBF&lt;30%区域及Tmax&gt;6s区域。</w:t>
            </w:r>
          </w:p>
        </w:tc>
      </w:tr>
      <w:tr w14:paraId="2E40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1246EDF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6.2</w:t>
            </w:r>
            <w:r>
              <w:rPr>
                <w:rFonts w:hint="eastAsia" w:ascii="仿宋" w:hAnsi="仿宋" w:eastAsia="仿宋" w:cs="仿宋"/>
                <w:b/>
                <w:sz w:val="18"/>
                <w:szCs w:val="18"/>
              </w:rPr>
              <w:t>▲▲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092B1E23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随访CT灌注影像配准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0123818C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将随访CT灌注影像配准到基线CT灌注影像，并同时标注随访CT灌注CBF&lt;30%区域，随访CT灌注Tmax&gt;6s区域,基线CT灌注CBF&lt;30%区域及Tmax&gt;6s区域。</w:t>
            </w:r>
          </w:p>
        </w:tc>
      </w:tr>
      <w:tr w14:paraId="4C01E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E9D3A6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6.3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3ECB2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处理结果的批量导出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F3F79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rPr>
                <w:rFonts w:hint="eastAsia" w:ascii="仿宋" w:hAnsi="仿宋" w:eastAsia="仿宋" w:cs="仿宋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处理结果以通用数据库格式如.sql等格式保存，可批量导出。</w:t>
            </w:r>
          </w:p>
        </w:tc>
      </w:tr>
      <w:tr w14:paraId="749AF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01F538DD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913" w:type="dxa"/>
            <w:gridSpan w:val="2"/>
            <w:tcBorders>
              <w:tl2br w:val="nil"/>
              <w:tr2bl w:val="nil"/>
            </w:tcBorders>
            <w:vAlign w:val="center"/>
          </w:tcPr>
          <w:p w14:paraId="2000F3A2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内网安装</w:t>
            </w:r>
          </w:p>
        </w:tc>
      </w:tr>
      <w:tr w14:paraId="7532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9" w:type="dxa"/>
            <w:tcBorders>
              <w:tl2br w:val="nil"/>
              <w:tr2bl w:val="nil"/>
            </w:tcBorders>
            <w:vAlign w:val="center"/>
          </w:tcPr>
          <w:p w14:paraId="171471DE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1612" w:type="dxa"/>
            <w:tcBorders>
              <w:tl2br w:val="nil"/>
              <w:tr2bl w:val="nil"/>
            </w:tcBorders>
            <w:vAlign w:val="center"/>
          </w:tcPr>
          <w:p w14:paraId="5E91FF38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center"/>
              <w:rPr>
                <w:rFonts w:hint="eastAsia" w:ascii="仿宋" w:hAnsi="仿宋" w:eastAsia="仿宋" w:cs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安装</w:t>
            </w:r>
          </w:p>
        </w:tc>
        <w:tc>
          <w:tcPr>
            <w:tcW w:w="7301" w:type="dxa"/>
            <w:tcBorders>
              <w:tl2br w:val="nil"/>
              <w:tr2bl w:val="nil"/>
            </w:tcBorders>
            <w:vAlign w:val="center"/>
          </w:tcPr>
          <w:p w14:paraId="636F2471">
            <w:pPr>
              <w:tabs>
                <w:tab w:val="left" w:pos="220"/>
                <w:tab w:val="left" w:pos="420"/>
              </w:tabs>
              <w:adjustRightInd w:val="0"/>
              <w:snapToGrid w:val="0"/>
              <w:spacing w:before="60" w:after="6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Cs/>
                <w:sz w:val="18"/>
                <w:szCs w:val="18"/>
              </w:rPr>
              <w:t>后处理软件应安装在医院内网，由医院物理管控的计算机进行计算。不应采用数据上传院外的云处理模式。</w:t>
            </w:r>
          </w:p>
        </w:tc>
      </w:tr>
    </w:tbl>
    <w:p w14:paraId="7AFF5E69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xNTQxMGZlOTU2Y2Y5MDAwN2FlYzIxZWFhMmMwYmQifQ=="/>
  </w:docVars>
  <w:rsids>
    <w:rsidRoot w:val="000247CF"/>
    <w:rsid w:val="000247CF"/>
    <w:rsid w:val="00024CBB"/>
    <w:rsid w:val="00216C95"/>
    <w:rsid w:val="00270215"/>
    <w:rsid w:val="002A5D1B"/>
    <w:rsid w:val="003C6F54"/>
    <w:rsid w:val="004819D5"/>
    <w:rsid w:val="0055587A"/>
    <w:rsid w:val="005C0678"/>
    <w:rsid w:val="00613096"/>
    <w:rsid w:val="006E473A"/>
    <w:rsid w:val="007C71A1"/>
    <w:rsid w:val="00821EF2"/>
    <w:rsid w:val="0097211E"/>
    <w:rsid w:val="009A33A2"/>
    <w:rsid w:val="009F324A"/>
    <w:rsid w:val="00C40B5E"/>
    <w:rsid w:val="00CF0336"/>
    <w:rsid w:val="00D204B6"/>
    <w:rsid w:val="00F03750"/>
    <w:rsid w:val="00F4070C"/>
    <w:rsid w:val="00FD0F23"/>
    <w:rsid w:val="04C9670A"/>
    <w:rsid w:val="09DF160A"/>
    <w:rsid w:val="09EA1839"/>
    <w:rsid w:val="0A2756D2"/>
    <w:rsid w:val="11820F6D"/>
    <w:rsid w:val="177D78B0"/>
    <w:rsid w:val="194F601D"/>
    <w:rsid w:val="1EC2307F"/>
    <w:rsid w:val="244A6626"/>
    <w:rsid w:val="24894563"/>
    <w:rsid w:val="2EEB122C"/>
    <w:rsid w:val="37461398"/>
    <w:rsid w:val="39FA28E7"/>
    <w:rsid w:val="3EE51326"/>
    <w:rsid w:val="4ECC43FA"/>
    <w:rsid w:val="64044FAD"/>
    <w:rsid w:val="65512CD9"/>
    <w:rsid w:val="6DBB3B45"/>
    <w:rsid w:val="73385AE0"/>
    <w:rsid w:val="786B14FD"/>
    <w:rsid w:val="7DC924DB"/>
    <w:rsid w:val="7EC035E9"/>
    <w:rsid w:val="7F04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annotation text"/>
    <w:basedOn w:val="1"/>
    <w:qFormat/>
    <w:uiPriority w:val="99"/>
    <w:rPr>
      <w:rFonts w:ascii="Calibri" w:hAnsi="Calibri"/>
      <w:sz w:val="20"/>
    </w:rPr>
  </w:style>
  <w:style w:type="paragraph" w:styleId="4">
    <w:name w:val="Body Text"/>
    <w:basedOn w:val="1"/>
    <w:next w:val="1"/>
    <w:qFormat/>
    <w:uiPriority w:val="0"/>
    <w:rPr>
      <w:sz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2024</Words>
  <Characters>2770</Characters>
  <Lines>25</Lines>
  <Paragraphs>7</Paragraphs>
  <TotalTime>0</TotalTime>
  <ScaleCrop>false</ScaleCrop>
  <LinksUpToDate>false</LinksUpToDate>
  <CharactersWithSpaces>2824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2024-12-03T06:03:00Z</dcterms:created>
  <dc:creator>17621</dc:creator>
  <cp:lastModifiedBy>橘子桔子橘</cp:lastModifiedBy>
  <dcterms:modified xsi:type="dcterms:W3CDTF">2026-05-25T02:07:36Z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043CB32D06C842C893E853CAC5CA44FA_12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