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61D23">
      <w:pPr>
        <w:jc w:val="center"/>
        <w:rPr>
          <w:rFonts w:hint="default" w:ascii="微软雅黑" w:hAnsi="微软雅黑" w:eastAsia="微软雅黑" w:cs="微软雅黑"/>
          <w:sz w:val="20"/>
          <w:szCs w:val="20"/>
          <w:lang w:val="en-US" w:eastAsia="zh-CN"/>
        </w:rPr>
      </w:pPr>
      <w:r>
        <w:rPr>
          <w:rFonts w:hint="eastAsia"/>
          <w:b/>
          <w:bCs/>
          <w:sz w:val="24"/>
          <w:szCs w:val="32"/>
          <w:lang w:val="en-US" w:eastAsia="zh-CN"/>
        </w:rPr>
        <w:t>高质量示范项目信息化配套国产数据库参数要求</w:t>
      </w:r>
    </w:p>
    <w:p w14:paraId="77282F96">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1、</w:t>
      </w:r>
      <w:r>
        <w:rPr>
          <w:rFonts w:hint="eastAsia" w:ascii="微软雅黑" w:hAnsi="微软雅黑" w:eastAsia="微软雅黑" w:cs="微软雅黑"/>
          <w:sz w:val="20"/>
          <w:szCs w:val="20"/>
        </w:rPr>
        <w:t>产品需为国产集中式关系型数据库</w:t>
      </w:r>
    </w:p>
    <w:p w14:paraId="559B69C9">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数据库产品通过中国信息安全测评中心或国家保密科技测评中心的安全可靠评测，且在集中式数据库目录中</w:t>
      </w:r>
    </w:p>
    <w:p w14:paraId="6E8077F2">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3、</w:t>
      </w:r>
      <w:r>
        <w:rPr>
          <w:rFonts w:hint="eastAsia" w:ascii="微软雅黑" w:hAnsi="微软雅黑" w:eastAsia="微软雅黑" w:cs="微软雅黑"/>
          <w:sz w:val="20"/>
          <w:szCs w:val="20"/>
        </w:rPr>
        <w:t>所提供产品符合财政部、工业和信息化部 《数据库政府采购需求标准（2023年版）》标准</w:t>
      </w:r>
    </w:p>
    <w:p w14:paraId="5706C363">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4、</w:t>
      </w:r>
      <w:r>
        <w:rPr>
          <w:rFonts w:hint="eastAsia" w:ascii="微软雅黑" w:hAnsi="微软雅黑" w:eastAsia="微软雅黑" w:cs="微软雅黑"/>
          <w:sz w:val="20"/>
          <w:szCs w:val="20"/>
        </w:rPr>
        <w:t>数据库属于opengauss技术路线</w:t>
      </w:r>
    </w:p>
    <w:p w14:paraId="297EB6D6">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5、</w:t>
      </w:r>
      <w:r>
        <w:rPr>
          <w:rFonts w:hint="eastAsia" w:ascii="微软雅黑" w:hAnsi="微软雅黑" w:eastAsia="微软雅黑" w:cs="微软雅黑"/>
          <w:sz w:val="20"/>
          <w:szCs w:val="20"/>
        </w:rPr>
        <w:t>★针对国产处理器平台有专门的优化技术，要求在2路国产处理器平台上TPCC测试中100仓数据量性能能达到150万tpmC以上，须提供工信部下属测评机构：中国软件评测中心、国家工业信息安全发展研究中心、工业和信息化部电子第五</w:t>
      </w:r>
      <w:bookmarkStart w:id="0" w:name="_GoBack"/>
      <w:bookmarkEnd w:id="0"/>
      <w:r>
        <w:rPr>
          <w:rFonts w:hint="eastAsia" w:ascii="微软雅黑" w:hAnsi="微软雅黑" w:eastAsia="微软雅黑" w:cs="微软雅黑"/>
          <w:sz w:val="20"/>
          <w:szCs w:val="20"/>
        </w:rPr>
        <w:t>研究所、中国电子技术标准化研究院、中国信息通信研究院其中之一按信创测试大纲测试后出具的《产品质量测试报告》或《产品确认测试报告》</w:t>
      </w:r>
    </w:p>
    <w:p w14:paraId="67E3E7B6">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6、</w:t>
      </w:r>
      <w:r>
        <w:rPr>
          <w:rFonts w:hint="eastAsia" w:ascii="微软雅黑" w:hAnsi="微软雅黑" w:eastAsia="微软雅黑" w:cs="微软雅黑"/>
          <w:sz w:val="20"/>
          <w:szCs w:val="20"/>
        </w:rPr>
        <w:t>支持B-TREE索引、GIN倒排索引、Gist空间索引、UBtree等多种索引访问方式。支持同一模式（schema）下不同表创建同名索引，支持中文的全文检索功能，能够支持like操作符的全文检索，中文全文检索功能不依赖中文词典</w:t>
      </w:r>
    </w:p>
    <w:p w14:paraId="2D17357A">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7、</w:t>
      </w:r>
      <w:r>
        <w:rPr>
          <w:rFonts w:hint="eastAsia" w:ascii="微软雅黑" w:hAnsi="微软雅黑" w:eastAsia="微软雅黑" w:cs="微软雅黑"/>
          <w:sz w:val="20"/>
          <w:szCs w:val="20"/>
        </w:rPr>
        <w:t>★内置内存存储引擎，可通过简单操作语句直接指定是否启用内存引擎。能够实现在同一个实例中内存表跟普通的磁盘表的共存，内存表支持ACID、常用SQL语法、存储过程和数据持久化等功能特性，针对内存表支持使用PREPARE语句的查询原生编译。须提供具有CNAS标识的第三方检测机构出具的检测报告</w:t>
      </w:r>
    </w:p>
    <w:p w14:paraId="2450DFF0">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8、</w:t>
      </w:r>
      <w:r>
        <w:rPr>
          <w:rFonts w:hint="eastAsia" w:ascii="微软雅黑" w:hAnsi="微软雅黑" w:eastAsia="微软雅黑" w:cs="微软雅黑"/>
          <w:sz w:val="20"/>
          <w:szCs w:val="20"/>
        </w:rPr>
        <w:t>★基于数据库内核本身，不通过插件或第三方软件即可实现在同一数据库实例中，同时支持行存表和列存表，可通过查看表详情或内置视图明确该表属于行存还是列存形态。在同一个事务中，可分别对行存表和列存表进行增删改查操作，并且支持将行存表与列存表进行多表关联查询操作。须提供具有CNAS标识的第三方检测机构出具的检测报告</w:t>
      </w:r>
    </w:p>
    <w:p w14:paraId="32742B0D">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9、</w:t>
      </w:r>
      <w:r>
        <w:rPr>
          <w:rFonts w:hint="eastAsia" w:ascii="微软雅黑" w:hAnsi="微软雅黑" w:eastAsia="微软雅黑" w:cs="微软雅黑"/>
          <w:sz w:val="20"/>
          <w:szCs w:val="20"/>
        </w:rPr>
        <w:t>支持表压缩功能，能够分别支持行存表压缩和列存表压缩</w:t>
      </w:r>
    </w:p>
    <w:p w14:paraId="76E11BD7">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10、</w:t>
      </w:r>
      <w:r>
        <w:rPr>
          <w:rFonts w:hint="eastAsia" w:ascii="微软雅黑" w:hAnsi="微软雅黑" w:eastAsia="微软雅黑" w:cs="微软雅黑"/>
          <w:sz w:val="20"/>
          <w:szCs w:val="20"/>
        </w:rPr>
        <w:t>支持AI功能,通过结合深度强化学习和全局搜索算法等AI技术，实现在无需人工干预的情况下，获取最佳数据库参数配置</w:t>
      </w:r>
      <w:r>
        <w:rPr>
          <w:rFonts w:hint="eastAsia" w:ascii="微软雅黑" w:hAnsi="微软雅黑" w:eastAsia="微软雅黑" w:cs="微软雅黑"/>
          <w:sz w:val="20"/>
          <w:szCs w:val="20"/>
          <w:lang w:eastAsia="zh-CN"/>
        </w:rPr>
        <w:t>。</w:t>
      </w:r>
      <w:r>
        <w:rPr>
          <w:rFonts w:hint="eastAsia" w:ascii="微软雅黑" w:hAnsi="微软雅黑" w:eastAsia="微软雅黑" w:cs="微软雅黑"/>
          <w:sz w:val="20"/>
          <w:szCs w:val="20"/>
        </w:rPr>
        <w:t>索引推荐功能支持用户在数据库中直接进行操作，对用户输入的单条查询语句生成推荐的索引</w:t>
      </w:r>
    </w:p>
    <w:p w14:paraId="152E115E">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11、</w:t>
      </w:r>
      <w:r>
        <w:rPr>
          <w:rFonts w:hint="eastAsia" w:ascii="微软雅黑" w:hAnsi="微软雅黑" w:eastAsia="微软雅黑" w:cs="微软雅黑"/>
          <w:sz w:val="20"/>
          <w:szCs w:val="20"/>
        </w:rPr>
        <w:t>对于简单sql，可跳过执行器执行框架，并且直接调用存储接口，加速简单查询的执行速度</w:t>
      </w:r>
    </w:p>
    <w:p w14:paraId="74A8F728">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12、</w:t>
      </w:r>
      <w:r>
        <w:rPr>
          <w:rFonts w:hint="eastAsia" w:ascii="微软雅黑" w:hAnsi="微软雅黑" w:eastAsia="微软雅黑" w:cs="微软雅黑"/>
          <w:sz w:val="20"/>
          <w:szCs w:val="20"/>
        </w:rPr>
        <w:t>支持账本数据库，具备数据防篡改能力，自动为表数据添加摘要信息，自动创建一张历史表记录对应用户表中数据的变更行为，确保数据库的变更能被有效记录、查询和追溯</w:t>
      </w:r>
    </w:p>
    <w:p w14:paraId="6BDE291E">
      <w:pPr>
        <w:rPr>
          <w:rFonts w:hint="eastAsia" w:ascii="微软雅黑" w:hAnsi="微软雅黑" w:eastAsia="微软雅黑" w:cs="微软雅黑"/>
          <w:sz w:val="20"/>
          <w:szCs w:val="20"/>
        </w:rPr>
      </w:pPr>
      <w:r>
        <w:rPr>
          <w:rFonts w:hint="eastAsia" w:ascii="微软雅黑" w:hAnsi="微软雅黑" w:eastAsia="微软雅黑" w:cs="微软雅黑"/>
          <w:sz w:val="20"/>
          <w:szCs w:val="20"/>
          <w:lang w:val="en-US" w:eastAsia="zh-CN"/>
        </w:rPr>
        <w:t>13、</w:t>
      </w:r>
      <w:r>
        <w:rPr>
          <w:rFonts w:hint="eastAsia" w:ascii="微软雅黑" w:hAnsi="微软雅黑" w:eastAsia="微软雅黑" w:cs="微软雅黑"/>
          <w:sz w:val="20"/>
          <w:szCs w:val="20"/>
        </w:rPr>
        <w:t>★数据库内核自带检测坏块函数，可以通过该内置函数发现丢失的文件，并可以修复。对于表文件损坏的页面，不借助任何工具通过备库自动修复。须提供具有CNAS标识的第三方检测机构出具的检测报告</w:t>
      </w:r>
    </w:p>
    <w:p w14:paraId="537F47E0">
      <w:pPr>
        <w:rPr>
          <w:rFonts w:hint="default" w:ascii="微软雅黑" w:hAnsi="微软雅黑" w:eastAsia="微软雅黑" w:cs="微软雅黑"/>
          <w:sz w:val="20"/>
          <w:szCs w:val="20"/>
          <w:lang w:val="en-US" w:eastAsia="zh-CN"/>
        </w:rPr>
      </w:pPr>
      <w:r>
        <w:rPr>
          <w:rFonts w:hint="eastAsia" w:ascii="微软雅黑" w:hAnsi="微软雅黑" w:eastAsia="微软雅黑" w:cs="微软雅黑"/>
          <w:sz w:val="20"/>
          <w:szCs w:val="20"/>
          <w:lang w:val="en-US" w:eastAsia="zh-CN"/>
        </w:rPr>
        <w:t>14、在2 路国产处理器平台上，在不低于100张千万行表的数据规模下，持续10分钟的不低于1000并发操作，数据库的批量数据插入的事务处理能力可达120万次/秒、单值插入数据的的事务处理能力可达10万次/秒、删除数据的事务处理能力可达60万次/秒、单值数据查询的事务处理能力可达100万次/秒。须提供具有CNAS标识的第三方检测机构出具的检测报告</w:t>
      </w:r>
    </w:p>
    <w:p w14:paraId="36506C11">
      <w:pPr>
        <w:rPr>
          <w:rFonts w:hint="eastAsia" w:ascii="微软雅黑" w:hAnsi="微软雅黑" w:eastAsia="微软雅黑" w:cs="微软雅黑"/>
          <w:sz w:val="20"/>
          <w:szCs w:val="20"/>
          <w:lang w:eastAsia="zh-CN"/>
        </w:rPr>
      </w:pPr>
      <w:r>
        <w:rPr>
          <w:rFonts w:hint="eastAsia" w:ascii="微软雅黑" w:hAnsi="微软雅黑" w:eastAsia="微软雅黑" w:cs="微软雅黑"/>
          <w:sz w:val="20"/>
          <w:szCs w:val="20"/>
          <w:lang w:val="en-US" w:eastAsia="zh-CN"/>
        </w:rPr>
        <w:t>15、</w:t>
      </w:r>
      <w:r>
        <w:rPr>
          <w:rFonts w:hint="eastAsia" w:ascii="微软雅黑" w:hAnsi="微软雅黑" w:eastAsia="微软雅黑" w:cs="微软雅黑"/>
          <w:sz w:val="20"/>
          <w:szCs w:val="20"/>
        </w:rPr>
        <w:t>数据库产品支持批量写入和批量读取接口 API，按单表(表宽不少于 50 列,行平均大小不低于 300 字节规格)批量写入性能达到 10万行以上/秒，读取能力达到30万行以上/秒</w:t>
      </w:r>
    </w:p>
    <w:p w14:paraId="51DDE3AA">
      <w:pPr>
        <w:rPr>
          <w:rFonts w:hint="eastAsia" w:ascii="微软雅黑" w:hAnsi="微软雅黑" w:eastAsia="微软雅黑" w:cs="微软雅黑"/>
          <w:sz w:val="20"/>
          <w:szCs w:val="2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041398"/>
    <w:rsid w:val="36581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81"/>
    <w:basedOn w:val="3"/>
    <w:uiPriority w:val="0"/>
    <w:rPr>
      <w:rFonts w:hint="eastAsia" w:ascii="微软雅黑" w:hAnsi="微软雅黑" w:eastAsia="微软雅黑" w:cs="微软雅黑"/>
      <w:b/>
      <w:bCs/>
      <w:color w:val="000000"/>
      <w:sz w:val="22"/>
      <w:szCs w:val="22"/>
      <w:u w:val="none"/>
    </w:rPr>
  </w:style>
  <w:style w:type="character" w:customStyle="1" w:styleId="5">
    <w:name w:val="font91"/>
    <w:basedOn w:val="3"/>
    <w:uiPriority w:val="0"/>
    <w:rPr>
      <w:rFonts w:hint="eastAsia" w:ascii="微软雅黑" w:hAnsi="微软雅黑" w:eastAsia="微软雅黑" w:cs="微软雅黑"/>
      <w:b/>
      <w:bCs/>
      <w:color w:val="FF0000"/>
      <w:sz w:val="22"/>
      <w:szCs w:val="22"/>
      <w:u w:val="none"/>
    </w:rPr>
  </w:style>
  <w:style w:type="character" w:customStyle="1" w:styleId="6">
    <w:name w:val="font41"/>
    <w:basedOn w:val="3"/>
    <w:uiPriority w:val="0"/>
    <w:rPr>
      <w:rFonts w:hint="eastAsia" w:ascii="等线" w:hAnsi="等线" w:eastAsia="等线" w:cs="等线"/>
      <w:color w:val="000000"/>
      <w:sz w:val="22"/>
      <w:szCs w:val="22"/>
      <w:u w:val="none"/>
    </w:rPr>
  </w:style>
  <w:style w:type="character" w:customStyle="1" w:styleId="7">
    <w:name w:val="font101"/>
    <w:basedOn w:val="3"/>
    <w:uiPriority w:val="0"/>
    <w:rPr>
      <w:rFonts w:hint="eastAsia" w:ascii="等线" w:hAnsi="等线" w:eastAsia="等线" w:cs="等线"/>
      <w:color w:val="C00000"/>
      <w:sz w:val="22"/>
      <w:szCs w:val="22"/>
      <w:u w:val="none"/>
    </w:rPr>
  </w:style>
  <w:style w:type="character" w:customStyle="1" w:styleId="8">
    <w:name w:val="font71"/>
    <w:basedOn w:val="3"/>
    <w:uiPriority w:val="0"/>
    <w:rPr>
      <w:rFonts w:hint="eastAsia" w:ascii="微软雅黑" w:hAnsi="微软雅黑" w:eastAsia="微软雅黑" w:cs="微软雅黑"/>
      <w:color w:val="000000"/>
      <w:sz w:val="22"/>
      <w:szCs w:val="22"/>
      <w:u w:val="none"/>
    </w:rPr>
  </w:style>
  <w:style w:type="character" w:customStyle="1" w:styleId="9">
    <w:name w:val="font112"/>
    <w:basedOn w:val="3"/>
    <w:uiPriority w:val="0"/>
    <w:rPr>
      <w:rFonts w:hint="eastAsia" w:ascii="微软雅黑" w:hAnsi="微软雅黑" w:eastAsia="微软雅黑" w:cs="微软雅黑"/>
      <w:color w:val="FF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1225</Words>
  <Characters>1321</Characters>
  <Lines>0</Lines>
  <Paragraphs>0</Paragraphs>
  <TotalTime>0</TotalTime>
  <ScaleCrop>false</ScaleCrop>
  <LinksUpToDate>false</LinksUpToDate>
  <CharactersWithSpaces>1329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2026-05-10T02:07:00Z</dcterms:created>
  <dc:creator>Administrator</dc:creator>
  <cp:lastModifiedBy>橘子桔子橘</cp:lastModifiedBy>
  <dcterms:modified xsi:type="dcterms:W3CDTF">2026-05-25T02:14:21Z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eyJoZGlkIjoiMzMzOTZkYzcxNDYwZTJjZDg0YTk4ZjBlN2Q3ZGNmZjQiLCJ1c2VySWQiOiIxMDE1NDUyMDMwIn0=</vt:lpwstr>
  </property>
  <property fmtid="{D5CDD505-2E9C-101B-9397-08002B2CF9AE}" pid="4" name="ICV">
    <vt:lpwstr>DEB3FD82587D4324B9B85C6D09928983_12</vt:lpwstr>
  </property>
</Properties>
</file>