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4A856">
      <w:pPr>
        <w:shd w:val="clear" w:color="auto" w:fill="FFFFFF"/>
        <w:spacing w:after="0" w:line="440" w:lineRule="exact"/>
        <w:jc w:val="center"/>
        <w:rPr>
          <w:rFonts w:asciiTheme="minorEastAsia" w:hAnsiTheme="minorEastAsia" w:eastAsiaTheme="minorEastAsia" w:cstheme="minorEastAsia"/>
          <w:b/>
          <w:bCs w:val="0"/>
          <w:color w:val="000000" w:themeColor="text1"/>
          <w:spacing w:val="-20"/>
          <w:sz w:val="28"/>
          <w:szCs w:val="28"/>
          <w14:textFill>
            <w14:solidFill>
              <w14:schemeClr w14:val="tx1"/>
            </w14:solidFill>
          </w14:textFill>
        </w:rPr>
      </w:pPr>
      <w:r>
        <w:rPr>
          <w:rFonts w:hint="eastAsia" w:asciiTheme="minorEastAsia" w:hAnsiTheme="minorEastAsia" w:eastAsiaTheme="minorEastAsia" w:cstheme="minorEastAsia"/>
          <w:b/>
          <w:bCs w:val="0"/>
          <w:color w:val="000000" w:themeColor="text1"/>
          <w:spacing w:val="-20"/>
          <w:sz w:val="28"/>
          <w:szCs w:val="28"/>
          <w14:textFill>
            <w14:solidFill>
              <w14:schemeClr w14:val="tx1"/>
            </w14:solidFill>
          </w14:textFill>
        </w:rPr>
        <w:t>南京大学医学院附属苏州医院</w:t>
      </w:r>
    </w:p>
    <w:p w14:paraId="260BC65B">
      <w:pPr>
        <w:shd w:val="clear" w:color="auto" w:fill="FFFFFF"/>
        <w:spacing w:after="0" w:line="440" w:lineRule="exact"/>
        <w:jc w:val="center"/>
        <w:rPr>
          <w:rFonts w:asciiTheme="minorEastAsia" w:hAnsiTheme="minorEastAsia" w:eastAsiaTheme="minorEastAsia" w:cstheme="minorEastAsia"/>
          <w:b/>
          <w:bCs w:val="0"/>
          <w:color w:val="000000" w:themeColor="text1"/>
          <w:spacing w:val="-20"/>
          <w:sz w:val="28"/>
          <w:szCs w:val="28"/>
          <w14:textFill>
            <w14:solidFill>
              <w14:schemeClr w14:val="tx1"/>
            </w14:solidFill>
          </w14:textFill>
        </w:rPr>
      </w:pPr>
      <w:r>
        <w:rPr>
          <w:rFonts w:hint="eastAsia" w:asciiTheme="minorEastAsia" w:hAnsiTheme="minorEastAsia" w:eastAsiaTheme="minorEastAsia" w:cstheme="minorEastAsia"/>
          <w:b/>
          <w:bCs w:val="0"/>
          <w:color w:val="000000" w:themeColor="text1"/>
          <w:spacing w:val="-20"/>
          <w:sz w:val="28"/>
          <w:szCs w:val="28"/>
          <w14:textFill>
            <w14:solidFill>
              <w14:schemeClr w14:val="tx1"/>
            </w14:solidFill>
          </w14:textFill>
        </w:rPr>
        <w:t>长三角高级专家MDT会诊服务中心、随访诊疗中心建设服务项目采购需求</w:t>
      </w:r>
    </w:p>
    <w:p w14:paraId="4E538170">
      <w:pPr>
        <w:shd w:val="clear" w:color="auto" w:fill="FFFFFF"/>
        <w:spacing w:after="0" w:line="440" w:lineRule="exact"/>
        <w:rPr>
          <w:rFonts w:asciiTheme="minorEastAsia" w:hAnsiTheme="minorEastAsia" w:eastAsiaTheme="minorEastAsia" w:cstheme="minorEastAsia"/>
          <w:b/>
          <w:bCs w:val="0"/>
          <w:color w:val="000000" w:themeColor="text1"/>
          <w14:textFill>
            <w14:solidFill>
              <w14:schemeClr w14:val="tx1"/>
            </w14:solidFill>
          </w14:textFill>
        </w:rPr>
      </w:pPr>
      <w:r>
        <w:rPr>
          <w:rFonts w:hint="eastAsia" w:asciiTheme="minorEastAsia" w:hAnsiTheme="minorEastAsia" w:eastAsiaTheme="minorEastAsia" w:cstheme="minorEastAsia"/>
          <w:b/>
          <w:bCs w:val="0"/>
          <w:color w:val="000000" w:themeColor="text1"/>
          <w14:textFill>
            <w14:solidFill>
              <w14:schemeClr w14:val="tx1"/>
            </w14:solidFill>
          </w14:textFill>
        </w:rPr>
        <w:t>一、项目基本情况</w:t>
      </w:r>
    </w:p>
    <w:p w14:paraId="7A801161">
      <w:pPr>
        <w:shd w:val="clear" w:color="auto" w:fill="FFFFFF"/>
        <w:spacing w:after="0" w:line="440" w:lineRule="exact"/>
        <w:ind w:firstLine="48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 xml:space="preserve">项目名称：长三角高级专家MDT会诊服务中心、随访诊疗中心 </w:t>
      </w:r>
    </w:p>
    <w:p w14:paraId="419C4FD4">
      <w:pPr>
        <w:shd w:val="clear" w:color="auto" w:fill="FFFFFF"/>
        <w:spacing w:after="0" w:line="440" w:lineRule="exact"/>
        <w:ind w:firstLine="480"/>
        <w:rPr>
          <w:rFonts w:asciiTheme="minorEastAsia" w:hAnsiTheme="minorEastAsia" w:eastAsiaTheme="minorEastAsia" w:cstheme="minorEastAsia"/>
          <w:bCs w:val="0"/>
          <w:color w:val="000000" w:themeColor="text1"/>
          <w:highlight w:val="yellow"/>
          <w:u w:val="single"/>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预算金额：</w:t>
      </w:r>
      <w:r>
        <w:rPr>
          <w:rFonts w:hint="eastAsia" w:asciiTheme="minorEastAsia" w:hAnsiTheme="minorEastAsia" w:eastAsiaTheme="minorEastAsia" w:cstheme="minorEastAsia"/>
          <w:color w:val="000000" w:themeColor="text1"/>
          <w14:textFill>
            <w14:solidFill>
              <w14:schemeClr w14:val="tx1"/>
            </w14:solidFill>
          </w14:textFill>
        </w:rPr>
        <w:t>人民币</w:t>
      </w:r>
      <w:r>
        <w:rPr>
          <w:rFonts w:hint="eastAsia" w:asciiTheme="minorEastAsia" w:hAnsiTheme="minorEastAsia" w:eastAsiaTheme="minorEastAsia" w:cstheme="minorEastAsia"/>
          <w:color w:val="000000" w:themeColor="text1"/>
          <w:u w:val="single"/>
          <w14:textFill>
            <w14:solidFill>
              <w14:schemeClr w14:val="tx1"/>
            </w14:solidFill>
          </w14:textFill>
        </w:rPr>
        <w:t xml:space="preserve">  48万          </w:t>
      </w:r>
    </w:p>
    <w:p w14:paraId="54A7F416">
      <w:pPr>
        <w:widowControl w:val="0"/>
        <w:autoSpaceDE w:val="0"/>
        <w:spacing w:after="0" w:line="480" w:lineRule="exact"/>
        <w:ind w:firstLine="480" w:firstLineChars="200"/>
        <w:rPr>
          <w:rFonts w:asciiTheme="minorEastAsia" w:hAnsiTheme="minorEastAsia" w:eastAsiaTheme="minorEastAsia" w:cstheme="minorEastAsia"/>
          <w:bCs w:val="0"/>
          <w:color w:val="000000" w:themeColor="text1"/>
          <w:kern w:val="2"/>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采购需求：为进一步提升县域医疗卫生服务能力，推动优质医疗卫生资源下沉，通过专家指导和联合会诊形式，带动本院团队技术成长，特别是手术能力的提升，通过引入上海及国内其他医疗高地国家级、省级重点学科及优质专家资源，与本院医疗团队协同合作，为患者提供精准、高效的诊疗方案，减少患者流失，助力医院学科建设能力与医疗服务质量提升。加强肺结节、甲乳结节筛查，及时做到标准化诊疗，早发现、早治疗，可有效提高患者生存期及生活质量。</w:t>
      </w:r>
    </w:p>
    <w:p w14:paraId="7800071A">
      <w:pPr>
        <w:spacing w:after="0" w:line="440" w:lineRule="exact"/>
        <w:ind w:firstLine="480" w:firstLineChars="200"/>
        <w:rPr>
          <w:rFonts w:asciiTheme="minorEastAsia" w:hAnsiTheme="minorEastAsia" w:eastAsiaTheme="minorEastAsia" w:cstheme="minorEastAsia"/>
          <w:bCs w:val="0"/>
          <w:color w:val="000000" w:themeColor="text1"/>
          <w:kern w:val="2"/>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合同履行期限：</w:t>
      </w:r>
      <w:r>
        <w:rPr>
          <w:rFonts w:hint="eastAsia" w:asciiTheme="minorEastAsia" w:hAnsiTheme="minorEastAsia" w:eastAsiaTheme="minorEastAsia" w:cstheme="minorEastAsia"/>
          <w:bCs w:val="0"/>
          <w:color w:val="000000" w:themeColor="text1"/>
          <w14:textFill>
            <w14:solidFill>
              <w14:schemeClr w14:val="tx1"/>
            </w14:solidFill>
          </w14:textFill>
        </w:rPr>
        <w:t>自合同签订之日起1年。</w:t>
      </w:r>
    </w:p>
    <w:p w14:paraId="720A0081">
      <w:pPr>
        <w:shd w:val="clear" w:color="auto" w:fill="FFFFFF"/>
        <w:spacing w:after="0" w:line="440" w:lineRule="exact"/>
        <w:ind w:firstLine="48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本项目不接受联合体</w:t>
      </w:r>
      <w:r>
        <w:rPr>
          <w:rFonts w:hint="eastAsia" w:asciiTheme="minorEastAsia" w:hAnsiTheme="minorEastAsia" w:eastAsiaTheme="minorEastAsia" w:cstheme="minorEastAsia"/>
          <w:bCs w:val="0"/>
          <w:color w:val="000000" w:themeColor="text1"/>
          <w:u w:val="single"/>
          <w14:textFill>
            <w14:solidFill>
              <w14:schemeClr w14:val="tx1"/>
            </w14:solidFill>
          </w14:textFill>
        </w:rPr>
        <w:t>服务</w:t>
      </w:r>
      <w:r>
        <w:rPr>
          <w:rFonts w:hint="eastAsia" w:asciiTheme="minorEastAsia" w:hAnsiTheme="minorEastAsia" w:eastAsiaTheme="minorEastAsia" w:cstheme="minorEastAsia"/>
          <w:bCs w:val="0"/>
          <w:color w:val="000000" w:themeColor="text1"/>
          <w14:textFill>
            <w14:solidFill>
              <w14:schemeClr w14:val="tx1"/>
            </w14:solidFill>
          </w14:textFill>
        </w:rPr>
        <w:t>。</w:t>
      </w:r>
    </w:p>
    <w:p w14:paraId="6FE11E5B">
      <w:pPr>
        <w:shd w:val="clear" w:color="auto" w:fill="FFFFFF"/>
        <w:spacing w:after="0" w:line="440" w:lineRule="exact"/>
        <w:rPr>
          <w:rFonts w:asciiTheme="minorEastAsia" w:hAnsiTheme="minorEastAsia" w:eastAsiaTheme="minorEastAsia" w:cstheme="minorEastAsia"/>
          <w:b/>
          <w:bCs w:val="0"/>
          <w:color w:val="000000" w:themeColor="text1"/>
          <w14:textFill>
            <w14:solidFill>
              <w14:schemeClr w14:val="tx1"/>
            </w14:solidFill>
          </w14:textFill>
        </w:rPr>
      </w:pPr>
      <w:bookmarkStart w:id="0" w:name="_Toc485977967"/>
      <w:bookmarkStart w:id="1" w:name="_Toc23714766"/>
      <w:bookmarkStart w:id="2" w:name="_Toc485992633"/>
    </w:p>
    <w:p w14:paraId="5797333C">
      <w:pPr>
        <w:spacing w:line="480" w:lineRule="exact"/>
        <w:rPr>
          <w:rFonts w:asciiTheme="minorEastAsia" w:hAnsiTheme="minorEastAsia" w:eastAsiaTheme="minorEastAsia" w:cstheme="minorEastAsia"/>
          <w:b/>
          <w:bCs w:val="0"/>
          <w:color w:val="000000" w:themeColor="text1"/>
          <w:lang w:val="zh-CN"/>
          <w14:textFill>
            <w14:solidFill>
              <w14:schemeClr w14:val="tx1"/>
            </w14:solidFill>
          </w14:textFill>
        </w:rPr>
      </w:pPr>
      <w:r>
        <w:rPr>
          <w:rFonts w:hint="eastAsia" w:cs="宋体"/>
          <w:b/>
          <w:color w:val="000000" w:themeColor="text1"/>
          <w14:textFill>
            <w14:solidFill>
              <w14:schemeClr w14:val="tx1"/>
            </w14:solidFill>
          </w14:textFill>
        </w:rPr>
        <w:t>二、</w:t>
      </w:r>
      <w:r>
        <w:rPr>
          <w:rFonts w:hint="eastAsia" w:asciiTheme="minorEastAsia" w:hAnsiTheme="minorEastAsia" w:eastAsiaTheme="minorEastAsia" w:cstheme="minorEastAsia"/>
          <w:b/>
          <w:bCs w:val="0"/>
          <w:color w:val="000000" w:themeColor="text1"/>
          <w:lang w:val="zh-CN"/>
          <w14:textFill>
            <w14:solidFill>
              <w14:schemeClr w14:val="tx1"/>
            </w14:solidFill>
          </w14:textFill>
        </w:rPr>
        <w:t>合格</w:t>
      </w:r>
      <w:r>
        <w:rPr>
          <w:rFonts w:hint="eastAsia" w:asciiTheme="minorEastAsia" w:hAnsiTheme="minorEastAsia" w:eastAsiaTheme="minorEastAsia" w:cstheme="minorEastAsia"/>
          <w:b/>
          <w:bCs w:val="0"/>
          <w:color w:val="000000" w:themeColor="text1"/>
          <w14:textFill>
            <w14:solidFill>
              <w14:schemeClr w14:val="tx1"/>
            </w14:solidFill>
          </w14:textFill>
        </w:rPr>
        <w:t>服务商</w:t>
      </w:r>
      <w:r>
        <w:rPr>
          <w:rFonts w:hint="eastAsia" w:asciiTheme="minorEastAsia" w:hAnsiTheme="minorEastAsia" w:eastAsiaTheme="minorEastAsia" w:cstheme="minorEastAsia"/>
          <w:b/>
          <w:bCs w:val="0"/>
          <w:color w:val="000000" w:themeColor="text1"/>
          <w:lang w:val="zh-CN"/>
          <w14:textFill>
            <w14:solidFill>
              <w14:schemeClr w14:val="tx1"/>
            </w14:solidFill>
          </w14:textFill>
        </w:rPr>
        <w:t>资格要求</w:t>
      </w:r>
    </w:p>
    <w:p w14:paraId="5E724D41">
      <w:pPr>
        <w:widowControl w:val="0"/>
        <w:spacing w:after="0" w:line="440" w:lineRule="exact"/>
        <w:ind w:right="5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满足《中华人民共和国政府采购法》第二十二条规定，并提供下列材料：</w:t>
      </w:r>
    </w:p>
    <w:p w14:paraId="1E3F6651">
      <w:pPr>
        <w:shd w:val="clear" w:color="auto" w:fill="FFFFFF"/>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1、服务商须具有独立法人资格，具有有效的营业执照、税务登记证和组织</w:t>
      </w:r>
      <w:r>
        <w:rPr>
          <w:rFonts w:hint="eastAsia" w:asciiTheme="minorEastAsia" w:hAnsiTheme="minorEastAsia" w:eastAsiaTheme="minorEastAsia" w:cstheme="minorEastAsia"/>
          <w:bCs w:val="0"/>
          <w:color w:val="000000" w:themeColor="text1"/>
          <w14:textFill>
            <w14:solidFill>
              <w14:schemeClr w14:val="tx1"/>
            </w14:solidFill>
          </w14:textFill>
        </w:rPr>
        <w:t>机构代码证（或三证合一）；</w:t>
      </w:r>
    </w:p>
    <w:p w14:paraId="77BE3216">
      <w:pPr>
        <w:shd w:val="clear" w:color="auto" w:fill="FFFFFF"/>
        <w:spacing w:after="0" w:line="440" w:lineRule="exact"/>
        <w:ind w:firstLine="48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2、服务商存在以下不良信用记录情形之一的，不得推荐为项目候选人，不得确定为最终服务商：</w:t>
      </w:r>
    </w:p>
    <w:p w14:paraId="78F9B1FC">
      <w:pPr>
        <w:shd w:val="clear" w:color="auto" w:fill="FFFFFF"/>
        <w:spacing w:after="0" w:line="440" w:lineRule="exact"/>
        <w:ind w:firstLine="48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2.1未被“信用中国”网站（www.creditchina.gov.cn）列入失信被执行人、重大税收违法案件当事人名单、政府采购严重失信行为记录名单。（提供网页截图）</w:t>
      </w:r>
    </w:p>
    <w:p w14:paraId="5105134D">
      <w:pPr>
        <w:shd w:val="clear" w:color="auto" w:fill="FFFFFF"/>
        <w:spacing w:after="0" w:line="440" w:lineRule="exact"/>
        <w:ind w:firstLine="480"/>
        <w:rPr>
          <w:rFonts w:cs="宋体"/>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2.2</w:t>
      </w:r>
      <w:r>
        <w:rPr>
          <w:rFonts w:hint="eastAsia" w:cs="宋体"/>
          <w:color w:val="000000" w:themeColor="text1"/>
          <w14:textFill>
            <w14:solidFill>
              <w14:schemeClr w14:val="tx1"/>
            </w14:solidFill>
          </w14:textFill>
        </w:rPr>
        <w:t>参加政府采购活动前3年内在经营活动中没有重大违法记录的书面声明；</w:t>
      </w:r>
    </w:p>
    <w:p w14:paraId="648C6D81">
      <w:pPr>
        <w:spacing w:line="480" w:lineRule="exact"/>
        <w:ind w:firstLine="480" w:firstLineChars="200"/>
        <w:rPr>
          <w:rFonts w:cs="宋体"/>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2.3</w:t>
      </w:r>
      <w:r>
        <w:rPr>
          <w:rFonts w:hint="eastAsia" w:cs="宋体"/>
          <w:color w:val="000000" w:themeColor="text1"/>
          <w14:textFill>
            <w14:solidFill>
              <w14:schemeClr w14:val="tx1"/>
            </w14:solidFill>
          </w14:textFill>
        </w:rPr>
        <w:t>具备履行合同所必需的设备和专业技术能力的书面声明；</w:t>
      </w:r>
    </w:p>
    <w:p w14:paraId="450DA9FD">
      <w:pPr>
        <w:widowControl w:val="0"/>
        <w:spacing w:after="0" w:line="440" w:lineRule="exact"/>
        <w:ind w:right="5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采购</w:t>
      </w:r>
      <w:r>
        <w:rPr>
          <w:b/>
          <w:bCs w:val="0"/>
          <w:color w:val="000000" w:themeColor="text1"/>
          <w14:textFill>
            <w14:solidFill>
              <w14:schemeClr w14:val="tx1"/>
            </w14:solidFill>
          </w14:textFill>
        </w:rPr>
        <w:t>文件属下列情况之一的，在资格性、符合性检查时按无效</w:t>
      </w:r>
      <w:r>
        <w:rPr>
          <w:rFonts w:hint="eastAsia"/>
          <w:b/>
          <w:bCs w:val="0"/>
          <w:color w:val="000000" w:themeColor="text1"/>
          <w:u w:val="single"/>
          <w14:textFill>
            <w14:solidFill>
              <w14:schemeClr w14:val="tx1"/>
            </w14:solidFill>
          </w14:textFill>
        </w:rPr>
        <w:t>提供</w:t>
      </w:r>
      <w:r>
        <w:rPr>
          <w:b/>
          <w:bCs w:val="0"/>
          <w:color w:val="000000" w:themeColor="text1"/>
          <w14:textFill>
            <w14:solidFill>
              <w14:schemeClr w14:val="tx1"/>
            </w14:solidFill>
          </w14:textFill>
        </w:rPr>
        <w:t>处理：</w:t>
      </w:r>
    </w:p>
    <w:p w14:paraId="7F3F86F8">
      <w:pPr>
        <w:widowControl w:val="0"/>
        <w:spacing w:after="0" w:line="440" w:lineRule="exact"/>
        <w:ind w:left="50" w:right="50" w:firstLine="360" w:firstLineChars="15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采购文件未按文件要求签章的</w:t>
      </w:r>
      <w:r>
        <w:rPr>
          <w:color w:val="000000" w:themeColor="text1"/>
          <w14:textFill>
            <w14:solidFill>
              <w14:schemeClr w14:val="tx1"/>
            </w14:solidFill>
          </w14:textFill>
        </w:rPr>
        <w:t>；</w:t>
      </w:r>
    </w:p>
    <w:p w14:paraId="626C2336">
      <w:pPr>
        <w:widowControl w:val="0"/>
        <w:spacing w:after="0" w:line="440" w:lineRule="exact"/>
        <w:ind w:left="50" w:right="50" w:firstLine="360" w:firstLineChars="15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不具备采购文件中规定的资格要求的</w:t>
      </w:r>
      <w:r>
        <w:rPr>
          <w:color w:val="000000" w:themeColor="text1"/>
          <w14:textFill>
            <w14:solidFill>
              <w14:schemeClr w14:val="tx1"/>
            </w14:solidFill>
          </w14:textFill>
        </w:rPr>
        <w:t>；</w:t>
      </w:r>
    </w:p>
    <w:p w14:paraId="2AF7AF72">
      <w:pPr>
        <w:widowControl w:val="0"/>
        <w:spacing w:after="0" w:line="440" w:lineRule="exact"/>
        <w:ind w:left="50" w:right="50" w:firstLine="360" w:firstLineChars="15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报价超过采购文件中规定的预算金额或者最高限价的；</w:t>
      </w:r>
    </w:p>
    <w:p w14:paraId="513AEDA9">
      <w:pPr>
        <w:widowControl w:val="0"/>
        <w:spacing w:after="0" w:line="440" w:lineRule="exact"/>
        <w:ind w:left="50" w:right="50" w:firstLine="360"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）采购文件含有采购人不能接受的附加条件的；</w:t>
      </w:r>
    </w:p>
    <w:p w14:paraId="30C0C7A7">
      <w:pPr>
        <w:widowControl w:val="0"/>
        <w:spacing w:after="0" w:line="440" w:lineRule="exact"/>
        <w:ind w:left="50" w:right="50" w:firstLine="360" w:firstLineChars="150"/>
        <w:rPr>
          <w:rFonts w:asciiTheme="minorEastAsia" w:hAnsiTheme="minorEastAsia" w:eastAsiaTheme="minorEastAsia" w:cstheme="minorEastAsia"/>
          <w:b/>
          <w:bCs w:val="0"/>
          <w:color w:val="000000" w:themeColor="text1"/>
          <w:lang w:val="zh-CN"/>
          <w14:textFill>
            <w14:solidFill>
              <w14:schemeClr w14:val="tx1"/>
            </w14:solidFill>
          </w14:textFill>
        </w:rPr>
      </w:pPr>
      <w:r>
        <w:rPr>
          <w:rFonts w:hint="eastAsia"/>
          <w:bCs w:val="0"/>
          <w:color w:val="000000" w:themeColor="text1"/>
          <w14:textFill>
            <w14:solidFill>
              <w14:schemeClr w14:val="tx1"/>
            </w14:solidFill>
          </w14:textFill>
        </w:rPr>
        <w:t>（</w:t>
      </w:r>
      <w:r>
        <w:rPr>
          <w:bCs w:val="0"/>
          <w:color w:val="000000" w:themeColor="text1"/>
          <w14:textFill>
            <w14:solidFill>
              <w14:schemeClr w14:val="tx1"/>
            </w14:solidFill>
          </w14:textFill>
        </w:rPr>
        <w:t>5</w:t>
      </w:r>
      <w:r>
        <w:rPr>
          <w:rFonts w:hint="eastAsia"/>
          <w:bCs w:val="0"/>
          <w:color w:val="000000" w:themeColor="text1"/>
          <w14:textFill>
            <w14:solidFill>
              <w14:schemeClr w14:val="tx1"/>
            </w14:solidFill>
          </w14:textFill>
        </w:rPr>
        <w:t>）法律、法规和采购文件规定的其他无效情形。</w:t>
      </w:r>
    </w:p>
    <w:p w14:paraId="4DDF0A21">
      <w:pPr>
        <w:widowControl w:val="0"/>
        <w:spacing w:after="0" w:line="440" w:lineRule="exact"/>
        <w:ind w:right="50"/>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b/>
          <w:color w:val="000000" w:themeColor="text1"/>
          <w14:textFill>
            <w14:solidFill>
              <w14:schemeClr w14:val="tx1"/>
            </w14:solidFill>
          </w14:textFill>
        </w:rPr>
        <w:t>有下列情形之一者，应予终止：</w:t>
      </w:r>
    </w:p>
    <w:p w14:paraId="081E363A">
      <w:pPr>
        <w:widowControl w:val="0"/>
        <w:spacing w:after="0" w:line="440" w:lineRule="exact"/>
        <w:ind w:left="50" w:right="50" w:firstLine="360" w:firstLineChars="150"/>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（1）符合条件的服务商或者对采购文件作实质响应的服务商</w:t>
      </w:r>
      <w:r>
        <w:rPr>
          <w:rFonts w:hint="eastAsia" w:asciiTheme="minorEastAsia" w:hAnsiTheme="minorEastAsia" w:eastAsiaTheme="minorEastAsia" w:cstheme="minorEastAsia"/>
          <w:b/>
          <w:color w:val="000000" w:themeColor="text1"/>
          <w14:textFill>
            <w14:solidFill>
              <w14:schemeClr w14:val="tx1"/>
            </w14:solidFill>
          </w14:textFill>
        </w:rPr>
        <w:t>不足3家的，</w:t>
      </w:r>
      <w:r>
        <w:rPr>
          <w:rFonts w:hint="eastAsia" w:asciiTheme="minorEastAsia" w:hAnsiTheme="minorEastAsia" w:eastAsiaTheme="minorEastAsia" w:cstheme="minorEastAsia"/>
          <w:color w:val="000000" w:themeColor="text1"/>
          <w14:textFill>
            <w14:solidFill>
              <w14:schemeClr w14:val="tx1"/>
            </w14:solidFill>
          </w14:textFill>
        </w:rPr>
        <w:t>本项目废止；</w:t>
      </w:r>
    </w:p>
    <w:p w14:paraId="492C5F79">
      <w:pPr>
        <w:widowControl w:val="0"/>
        <w:spacing w:after="0" w:line="440" w:lineRule="exact"/>
        <w:ind w:left="50" w:right="50" w:firstLine="360" w:firstLineChars="150"/>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（2）出现影响采购公正的违法、违规行为的；</w:t>
      </w:r>
    </w:p>
    <w:p w14:paraId="326137E1">
      <w:pPr>
        <w:widowControl w:val="0"/>
        <w:spacing w:after="0" w:line="440" w:lineRule="exact"/>
        <w:ind w:left="50" w:right="50" w:firstLine="360" w:firstLineChars="150"/>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（3）服务商的报价均超过了采购预算，采购人不能支付的；</w:t>
      </w:r>
    </w:p>
    <w:p w14:paraId="52523B8C">
      <w:pPr>
        <w:widowControl w:val="0"/>
        <w:spacing w:after="0" w:line="440" w:lineRule="exact"/>
        <w:ind w:left="50" w:right="50" w:firstLine="360" w:firstLineChars="150"/>
        <w:rPr>
          <w:rFonts w:asciiTheme="minorEastAsia" w:hAnsiTheme="minorEastAsia" w:eastAsiaTheme="minorEastAsia" w:cstheme="minorEastAsia"/>
          <w:color w:val="000000" w:themeColor="text1"/>
          <w:lang w:val="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（4）因重大变故，采购任务取消的。</w:t>
      </w:r>
    </w:p>
    <w:p w14:paraId="27706090">
      <w:pPr>
        <w:widowControl w:val="0"/>
        <w:spacing w:after="0" w:line="440" w:lineRule="exact"/>
        <w:ind w:right="50"/>
        <w:rPr>
          <w:rFonts w:asciiTheme="minorEastAsia" w:hAnsiTheme="minorEastAsia" w:eastAsiaTheme="minorEastAsia" w:cstheme="minorEastAsia"/>
          <w:b/>
          <w:bCs w:val="0"/>
          <w:color w:val="000000" w:themeColor="text1"/>
          <w14:textFill>
            <w14:solidFill>
              <w14:schemeClr w14:val="tx1"/>
            </w14:solidFill>
          </w14:textFill>
        </w:rPr>
      </w:pPr>
      <w:r>
        <w:rPr>
          <w:rFonts w:hint="eastAsia" w:asciiTheme="minorEastAsia" w:hAnsiTheme="minorEastAsia" w:eastAsiaTheme="minorEastAsia" w:cstheme="minorEastAsia"/>
          <w:b/>
          <w:bCs w:val="0"/>
          <w:color w:val="000000" w:themeColor="text1"/>
          <w14:textFill>
            <w14:solidFill>
              <w14:schemeClr w14:val="tx1"/>
            </w14:solidFill>
          </w14:textFill>
        </w:rPr>
        <w:t>三、会诊服务中心项目服务内容及要求</w:t>
      </w:r>
    </w:p>
    <w:p w14:paraId="7553401C">
      <w:pPr>
        <w:widowControl w:val="0"/>
        <w:spacing w:after="0" w:line="440" w:lineRule="exact"/>
        <w:ind w:left="50" w:right="50" w:firstLine="360" w:firstLineChars="150"/>
        <w:rPr>
          <w:rFonts w:asciiTheme="minorEastAsia" w:hAnsiTheme="minorEastAsia" w:eastAsiaTheme="minorEastAsia" w:cstheme="minorEastAsia"/>
          <w:color w:val="000000" w:themeColor="text1"/>
          <w14:textFill>
            <w14:solidFill>
              <w14:schemeClr w14:val="tx1"/>
            </w14:solidFill>
          </w14:textFill>
        </w:rPr>
      </w:pPr>
      <w:r>
        <w:rPr>
          <w:rFonts w:asciiTheme="minorEastAsia" w:hAnsiTheme="minorEastAsia" w:eastAsiaTheme="minorEastAsia" w:cstheme="minorEastAsia"/>
          <w:color w:val="000000" w:themeColor="text1"/>
          <w14:textFill>
            <w14:solidFill>
              <w14:schemeClr w14:val="tx1"/>
            </w14:solidFill>
          </w14:textFill>
        </w:rPr>
        <w:t>（一）专家</w:t>
      </w:r>
      <w:r>
        <w:rPr>
          <w:rFonts w:hint="eastAsia" w:asciiTheme="minorEastAsia" w:hAnsiTheme="minorEastAsia" w:eastAsiaTheme="minorEastAsia" w:cstheme="minorEastAsia"/>
          <w:color w:val="000000" w:themeColor="text1"/>
          <w14:textFill>
            <w14:solidFill>
              <w14:schemeClr w14:val="tx1"/>
            </w14:solidFill>
          </w14:textFill>
        </w:rPr>
        <w:t>赋能</w:t>
      </w:r>
    </w:p>
    <w:p w14:paraId="6B094C07">
      <w:pPr>
        <w:widowControl w:val="0"/>
        <w:spacing w:after="0" w:line="440" w:lineRule="exact"/>
        <w:ind w:left="50" w:right="50" w:firstLine="360" w:firstLineChars="150"/>
        <w:rPr>
          <w:rFonts w:hAnsiTheme="minorEastAsia" w:cstheme="minorEastAsia"/>
          <w:spacing w:val="-5"/>
          <w:szCs w:val="28"/>
        </w:rPr>
      </w:pPr>
      <w:r>
        <w:rPr>
          <w:rFonts w:asciiTheme="minorEastAsia" w:hAnsiTheme="minorEastAsia" w:eastAsiaTheme="minorEastAsia" w:cstheme="minorEastAsia"/>
          <w:color w:val="000000" w:themeColor="text1"/>
          <w14:textFill>
            <w14:solidFill>
              <w14:schemeClr w14:val="tx1"/>
            </w14:solidFill>
          </w14:textFill>
        </w:rPr>
        <w:t>1.</w:t>
      </w:r>
      <w:r>
        <w:rPr>
          <w:rFonts w:hint="eastAsia" w:hAnsiTheme="minorEastAsia" w:cstheme="minorEastAsia"/>
          <w:spacing w:val="-5"/>
          <w:szCs w:val="28"/>
        </w:rPr>
        <w:t>专家赋能：为医院提供全面的专家资源库，专家库数量不低于500名，医院各科室根据实际需求从中遴选专家作为合作专家。确保出诊专家具备【副主任医师及以上】职称或【10 年以上临床工作经验】的高年资医师，专家资质需提前向院方备案，并有权核实。</w:t>
      </w:r>
    </w:p>
    <w:p w14:paraId="4E529BFB">
      <w:pPr>
        <w:kinsoku w:val="0"/>
        <w:adjustRightInd w:val="0"/>
        <w:spacing w:line="300" w:lineRule="auto"/>
        <w:ind w:firstLine="482"/>
        <w:textAlignment w:val="baseline"/>
        <w:outlineLvl w:val="4"/>
        <w:rPr>
          <w:rFonts w:hAnsiTheme="minorEastAsia" w:cstheme="minorEastAsia"/>
          <w:spacing w:val="-5"/>
          <w:szCs w:val="28"/>
        </w:rPr>
      </w:pPr>
      <w:r>
        <w:rPr>
          <w:rFonts w:hint="eastAsia" w:hAnsiTheme="minorEastAsia" w:cstheme="minorEastAsia"/>
          <w:spacing w:val="-5"/>
          <w:szCs w:val="28"/>
        </w:rPr>
        <w:t>各科室与会诊服务中心紧密协作，医院可提供长期合作（上海、南京）外院专家与会诊服务中心专家库进行统一管理。</w:t>
      </w:r>
    </w:p>
    <w:p w14:paraId="71441CD4">
      <w:pPr>
        <w:kinsoku w:val="0"/>
        <w:adjustRightInd w:val="0"/>
        <w:spacing w:line="300" w:lineRule="auto"/>
        <w:ind w:firstLine="482"/>
        <w:textAlignment w:val="baseline"/>
        <w:outlineLvl w:val="4"/>
        <w:rPr>
          <w:rFonts w:hAnsiTheme="minorEastAsia" w:cstheme="minorEastAsia"/>
          <w:spacing w:val="-5"/>
          <w:szCs w:val="28"/>
        </w:rPr>
      </w:pPr>
      <w:r>
        <w:rPr>
          <w:rFonts w:hint="eastAsia" w:hAnsiTheme="minorEastAsia" w:cstheme="minorEastAsia"/>
          <w:spacing w:val="-5"/>
          <w:szCs w:val="28"/>
        </w:rPr>
        <w:t>2.专家对接：根据患者实际情况以及需求与科室确定会诊专家邀请人选，同步整理患者病史资料发给专家，对拟邀请专家发出会诊预约；按照约定的时间组织经治科室医生、患者或其监护人、专家开展线上会诊，制定患者诊疗方案。</w:t>
      </w:r>
    </w:p>
    <w:p w14:paraId="231D17F2">
      <w:pPr>
        <w:kinsoku w:val="0"/>
        <w:adjustRightInd w:val="0"/>
        <w:spacing w:line="300" w:lineRule="auto"/>
        <w:ind w:firstLine="482"/>
        <w:textAlignment w:val="baseline"/>
        <w:outlineLvl w:val="4"/>
        <w:rPr>
          <w:rFonts w:hAnsiTheme="minorEastAsia" w:cstheme="minorEastAsia"/>
          <w:spacing w:val="-5"/>
          <w:szCs w:val="28"/>
        </w:rPr>
      </w:pPr>
      <w:r>
        <w:rPr>
          <w:rFonts w:hint="eastAsia" w:hAnsiTheme="minorEastAsia" w:cstheme="minorEastAsia"/>
          <w:spacing w:val="-5"/>
          <w:szCs w:val="28"/>
        </w:rPr>
        <w:t>3.专家响应时间：线上会诊 24 至 72小时完成，紧急病例（如重症患者）需在24小时内安排专家；普通线下择期会诊：正高级职称专家两周以内完成；副高级职称专家一周以内完成；特需会诊一诊一议。</w:t>
      </w:r>
    </w:p>
    <w:bookmarkEnd w:id="0"/>
    <w:bookmarkEnd w:id="1"/>
    <w:bookmarkEnd w:id="2"/>
    <w:p w14:paraId="3D5CEE54">
      <w:pPr>
        <w:widowControl w:val="0"/>
        <w:autoSpaceDE w:val="0"/>
        <w:autoSpaceDN w:val="0"/>
        <w:adjustRightInd w:val="0"/>
        <w:spacing w:after="0" w:line="440" w:lineRule="exact"/>
        <w:ind w:firstLine="480" w:firstLineChars="200"/>
        <w:rPr>
          <w:rFonts w:hAnsi="Arial" w:cs="Arial"/>
          <w:snapToGrid w:val="0"/>
          <w:szCs w:val="21"/>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二</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运营</w:t>
      </w:r>
      <w:r>
        <w:rPr>
          <w:rFonts w:hint="eastAsia" w:asciiTheme="minorEastAsia" w:hAnsiTheme="minorEastAsia" w:eastAsiaTheme="minorEastAsia" w:cstheme="minorEastAsia"/>
          <w:bCs w:val="0"/>
          <w:color w:val="000000" w:themeColor="text1"/>
          <w:lang w:val="zh-CN"/>
          <w14:textFill>
            <w14:solidFill>
              <w14:schemeClr w14:val="tx1"/>
            </w14:solidFill>
          </w14:textFill>
        </w:rPr>
        <w:t>转化</w:t>
      </w:r>
    </w:p>
    <w:p w14:paraId="729852DC">
      <w:pPr>
        <w:kinsoku w:val="0"/>
        <w:adjustRightInd w:val="0"/>
        <w:spacing w:line="300" w:lineRule="auto"/>
        <w:ind w:firstLine="482"/>
        <w:textAlignment w:val="baseline"/>
        <w:outlineLvl w:val="4"/>
        <w:rPr>
          <w:rFonts w:hAnsiTheme="minorEastAsia" w:cstheme="minorEastAsia"/>
          <w:spacing w:val="-9"/>
          <w:szCs w:val="28"/>
        </w:rPr>
      </w:pPr>
      <w:r>
        <w:rPr>
          <w:rFonts w:hint="eastAsia" w:hAnsiTheme="minorEastAsia" w:cstheme="minorEastAsia"/>
          <w:spacing w:val="-9"/>
          <w:szCs w:val="28"/>
        </w:rPr>
        <w:t>1. 需在医院门诊大厅显要位置设立专家会诊服务中心，利用位置优势吸引来院患者的关注。</w:t>
      </w:r>
    </w:p>
    <w:p w14:paraId="798A6EB4">
      <w:pPr>
        <w:kinsoku w:val="0"/>
        <w:adjustRightInd w:val="0"/>
        <w:spacing w:line="300" w:lineRule="auto"/>
        <w:ind w:firstLine="482"/>
        <w:textAlignment w:val="baseline"/>
        <w:rPr>
          <w:rFonts w:hAnsiTheme="minorEastAsia" w:cstheme="minorEastAsia"/>
          <w:spacing w:val="-5"/>
          <w:szCs w:val="28"/>
        </w:rPr>
      </w:pPr>
      <w:r>
        <w:rPr>
          <w:rFonts w:hint="eastAsia" w:hAnsiTheme="minorEastAsia" w:cstheme="minorEastAsia"/>
          <w:spacing w:val="-9"/>
          <w:szCs w:val="28"/>
        </w:rPr>
        <w:t>2. 通过服务介绍、专家展示等多方面，提升患者对会诊服务中心的关注，有效引流患者至中心进行咨询。</w:t>
      </w:r>
    </w:p>
    <w:p w14:paraId="4146FF68">
      <w:pPr>
        <w:kinsoku w:val="0"/>
        <w:adjustRightInd w:val="0"/>
        <w:spacing w:line="300" w:lineRule="auto"/>
        <w:ind w:firstLine="482"/>
        <w:textAlignment w:val="baseline"/>
        <w:rPr>
          <w:rFonts w:hAnsiTheme="minorEastAsia" w:cstheme="minorEastAsia"/>
          <w:spacing w:val="-5"/>
          <w:szCs w:val="28"/>
        </w:rPr>
      </w:pPr>
      <w:r>
        <w:rPr>
          <w:rFonts w:hint="eastAsia" w:hAnsiTheme="minorEastAsia" w:cstheme="minorEastAsia"/>
          <w:spacing w:val="-5"/>
          <w:szCs w:val="28"/>
        </w:rPr>
        <w:t>3. 每年开展一次全院中层干部以上的宣教会议。</w:t>
      </w:r>
    </w:p>
    <w:p w14:paraId="348DF520">
      <w:pPr>
        <w:kinsoku w:val="0"/>
        <w:adjustRightInd w:val="0"/>
        <w:spacing w:line="300" w:lineRule="auto"/>
        <w:ind w:firstLine="482"/>
        <w:textAlignment w:val="baseline"/>
        <w:rPr>
          <w:rFonts w:hAnsiTheme="minorEastAsia" w:cstheme="minorEastAsia"/>
          <w:spacing w:val="-5"/>
          <w:szCs w:val="28"/>
        </w:rPr>
      </w:pPr>
      <w:r>
        <w:rPr>
          <w:rFonts w:hint="eastAsia" w:hAnsiTheme="minorEastAsia" w:cstheme="minorEastAsia"/>
          <w:spacing w:val="-5"/>
          <w:szCs w:val="28"/>
        </w:rPr>
        <w:t>4. 每年开展 4 次科室培训会议。</w:t>
      </w:r>
    </w:p>
    <w:p w14:paraId="2D30EF7A">
      <w:pPr>
        <w:widowControl w:val="0"/>
        <w:autoSpaceDE w:val="0"/>
        <w:autoSpaceDN w:val="0"/>
        <w:spacing w:line="300" w:lineRule="auto"/>
        <w:ind w:firstLine="482"/>
        <w:jc w:val="left"/>
        <w:rPr>
          <w:rFonts w:cs="宋体"/>
          <w:szCs w:val="28"/>
        </w:rPr>
      </w:pPr>
      <w:r>
        <w:rPr>
          <w:rFonts w:hint="eastAsia" w:hAnsiTheme="minorEastAsia" w:cstheme="minorEastAsia"/>
          <w:spacing w:val="-5"/>
          <w:szCs w:val="28"/>
        </w:rPr>
        <w:t xml:space="preserve">5. </w:t>
      </w:r>
      <w:r>
        <w:rPr>
          <w:rFonts w:hint="eastAsia" w:cs="宋体"/>
          <w:szCs w:val="28"/>
        </w:rPr>
        <w:t>协助科室组织义诊、医联体走访及下乡活动不低于5次，将服务中心推广到基层，扩大患者基数。</w:t>
      </w:r>
    </w:p>
    <w:p w14:paraId="0A00689B">
      <w:pPr>
        <w:kinsoku w:val="0"/>
        <w:adjustRightInd w:val="0"/>
        <w:spacing w:line="300" w:lineRule="auto"/>
        <w:ind w:firstLine="482"/>
        <w:textAlignment w:val="baseline"/>
        <w:rPr>
          <w:rFonts w:hAnsiTheme="minorEastAsia" w:cstheme="minorEastAsia"/>
          <w:spacing w:val="-5"/>
          <w:szCs w:val="28"/>
        </w:rPr>
      </w:pPr>
    </w:p>
    <w:p w14:paraId="201BBE4D">
      <w:pPr>
        <w:kinsoku w:val="0"/>
        <w:adjustRightInd w:val="0"/>
        <w:spacing w:line="300" w:lineRule="auto"/>
        <w:ind w:firstLine="482"/>
        <w:textAlignment w:val="baseline"/>
        <w:rPr>
          <w:rFonts w:hAnsiTheme="minorEastAsia" w:cstheme="minorEastAsia"/>
          <w:spacing w:val="-9"/>
          <w:szCs w:val="28"/>
        </w:rPr>
      </w:pPr>
      <w:r>
        <w:rPr>
          <w:rFonts w:hint="eastAsia" w:hAnsiTheme="minorEastAsia" w:cstheme="minorEastAsia"/>
          <w:spacing w:val="-9"/>
          <w:szCs w:val="28"/>
        </w:rPr>
        <w:t>6. 各科室主任负责协同会诊中心的患者转化，双方明确有外院专家会诊需求的患者，全部通过会诊中心进行转化。</w:t>
      </w:r>
    </w:p>
    <w:p w14:paraId="5F0B6624">
      <w:pPr>
        <w:kinsoku w:val="0"/>
        <w:adjustRightInd w:val="0"/>
        <w:spacing w:line="300" w:lineRule="auto"/>
        <w:ind w:firstLine="482"/>
        <w:textAlignment w:val="baseline"/>
        <w:rPr>
          <w:rFonts w:hAnsiTheme="minorEastAsia" w:cstheme="minorEastAsia"/>
          <w:spacing w:val="-9"/>
          <w:szCs w:val="28"/>
        </w:rPr>
      </w:pPr>
      <w:r>
        <w:rPr>
          <w:rFonts w:hint="eastAsia" w:hAnsiTheme="minorEastAsia" w:cstheme="minorEastAsia"/>
          <w:spacing w:val="-9"/>
          <w:szCs w:val="28"/>
        </w:rPr>
        <w:t>7. 鼓励疑难重症患者或有更高诊疗需求的患者引导至会诊服务中心，通过专家品牌促进转化。</w:t>
      </w:r>
    </w:p>
    <w:p w14:paraId="1108C9DF">
      <w:pPr>
        <w:kinsoku w:val="0"/>
        <w:adjustRightInd w:val="0"/>
        <w:spacing w:line="300" w:lineRule="auto"/>
        <w:ind w:firstLine="482"/>
        <w:textAlignment w:val="baseline"/>
        <w:rPr>
          <w:rFonts w:hAnsiTheme="minorEastAsia" w:cstheme="minorEastAsia"/>
          <w:spacing w:val="-9"/>
          <w:szCs w:val="28"/>
        </w:rPr>
      </w:pPr>
      <w:r>
        <w:rPr>
          <w:rFonts w:hint="eastAsia" w:hAnsiTheme="minorEastAsia" w:cstheme="minorEastAsia"/>
          <w:spacing w:val="-9"/>
          <w:szCs w:val="28"/>
        </w:rPr>
        <w:t>8. 利用医院内部资源及社会媒体平台配合乙方进行会诊服务中心的宣传推广。</w:t>
      </w:r>
    </w:p>
    <w:p w14:paraId="10C5DF11">
      <w:pPr>
        <w:kinsoku w:val="0"/>
        <w:adjustRightInd w:val="0"/>
        <w:spacing w:line="300" w:lineRule="auto"/>
        <w:ind w:firstLine="482"/>
        <w:textAlignment w:val="baseline"/>
        <w:rPr>
          <w:rFonts w:hAnsiTheme="minorEastAsia" w:cstheme="minorEastAsia"/>
          <w:spacing w:val="-9"/>
          <w:szCs w:val="28"/>
        </w:rPr>
      </w:pPr>
      <w:r>
        <w:rPr>
          <w:rFonts w:hint="eastAsia" w:hAnsiTheme="minorEastAsia" w:cstheme="minorEastAsia"/>
          <w:spacing w:val="-9"/>
          <w:szCs w:val="28"/>
        </w:rPr>
        <w:t>9. 至少需提供一名专业运营人员负责会诊中心运营工作，</w:t>
      </w:r>
      <w:r>
        <w:rPr>
          <w:rFonts w:hint="eastAsia" w:asciiTheme="minorEastAsia" w:hAnsiTheme="minorEastAsia" w:eastAsiaTheme="minorEastAsia" w:cstheme="minorEastAsia"/>
        </w:rPr>
        <w:t>全程接受所在医院监督、管理</w:t>
      </w:r>
      <w:r>
        <w:rPr>
          <w:rFonts w:hint="eastAsia" w:hAnsiTheme="minorEastAsia" w:cstheme="minorEastAsia"/>
          <w:spacing w:val="-9"/>
          <w:szCs w:val="28"/>
        </w:rPr>
        <w:t>。</w:t>
      </w:r>
    </w:p>
    <w:p w14:paraId="3FD0BDFB">
      <w:pPr>
        <w:kinsoku w:val="0"/>
        <w:adjustRightInd w:val="0"/>
        <w:spacing w:line="300" w:lineRule="auto"/>
        <w:ind w:firstLine="482"/>
        <w:textAlignment w:val="baseline"/>
        <w:rPr>
          <w:rFonts w:hAnsiTheme="minorEastAsia" w:cstheme="minorEastAsia"/>
          <w:spacing w:val="-3"/>
          <w:szCs w:val="28"/>
        </w:rPr>
      </w:pPr>
      <w:r>
        <w:rPr>
          <w:rFonts w:hint="eastAsia" w:hAnsiTheme="minorEastAsia" w:cstheme="minorEastAsia"/>
          <w:bCs w:val="0"/>
          <w:spacing w:val="-8"/>
          <w:szCs w:val="28"/>
        </w:rPr>
        <w:t>10.</w:t>
      </w:r>
      <w:r>
        <w:rPr>
          <w:rFonts w:hint="eastAsia" w:asciiTheme="minorEastAsia" w:hAnsiTheme="minorEastAsia" w:eastAsiaTheme="minorEastAsia" w:cstheme="minorEastAsia"/>
          <w:bCs w:val="0"/>
          <w:color w:val="000000" w:themeColor="text1"/>
          <w14:textFill>
            <w14:solidFill>
              <w14:schemeClr w14:val="tx1"/>
            </w14:solidFill>
          </w14:textFill>
        </w:rPr>
        <w:t xml:space="preserve"> </w:t>
      </w:r>
      <w:r>
        <w:rPr>
          <w:rFonts w:hint="eastAsia" w:asciiTheme="minorEastAsia" w:hAnsiTheme="minorEastAsia" w:eastAsiaTheme="minorEastAsia" w:cstheme="minorEastAsia"/>
          <w:bCs w:val="0"/>
          <w:color w:val="000000" w:themeColor="text1"/>
          <w:lang w:val="zh-CN"/>
          <w14:textFill>
            <w14:solidFill>
              <w14:schemeClr w14:val="tx1"/>
            </w14:solidFill>
          </w14:textFill>
        </w:rPr>
        <w:t>患者原籍地转诊：</w:t>
      </w:r>
      <w:r>
        <w:rPr>
          <w:rFonts w:hint="eastAsia" w:asciiTheme="minorEastAsia" w:hAnsiTheme="minorEastAsia" w:eastAsiaTheme="minorEastAsia" w:cstheme="minorEastAsia"/>
          <w:bCs w:val="0"/>
          <w:color w:val="000000" w:themeColor="text1"/>
          <w14:textFill>
            <w14:solidFill>
              <w14:schemeClr w14:val="tx1"/>
            </w14:solidFill>
          </w14:textFill>
        </w:rPr>
        <w:t>在</w:t>
      </w:r>
      <w:r>
        <w:rPr>
          <w:rFonts w:hint="eastAsia" w:asciiTheme="minorEastAsia" w:hAnsiTheme="minorEastAsia" w:eastAsiaTheme="minorEastAsia" w:cstheme="minorEastAsia"/>
          <w:bCs w:val="0"/>
          <w:color w:val="000000" w:themeColor="text1"/>
          <w:lang w:val="zh-CN"/>
          <w14:textFill>
            <w14:solidFill>
              <w14:schemeClr w14:val="tx1"/>
            </w14:solidFill>
          </w14:textFill>
        </w:rPr>
        <w:t>合作</w:t>
      </w:r>
      <w:r>
        <w:rPr>
          <w:rFonts w:hint="eastAsia" w:asciiTheme="minorEastAsia" w:hAnsiTheme="minorEastAsia" w:eastAsiaTheme="minorEastAsia" w:cstheme="minorEastAsia"/>
          <w:bCs w:val="0"/>
          <w:color w:val="000000" w:themeColor="text1"/>
          <w14:textFill>
            <w14:solidFill>
              <w14:schemeClr w14:val="tx1"/>
            </w14:solidFill>
          </w14:textFill>
        </w:rPr>
        <w:t>三甲</w:t>
      </w:r>
      <w:r>
        <w:rPr>
          <w:rFonts w:hint="eastAsia" w:asciiTheme="minorEastAsia" w:hAnsiTheme="minorEastAsia" w:eastAsiaTheme="minorEastAsia" w:cstheme="minorEastAsia"/>
          <w:bCs w:val="0"/>
          <w:color w:val="000000" w:themeColor="text1"/>
          <w:lang w:val="zh-CN"/>
          <w14:textFill>
            <w14:solidFill>
              <w14:schemeClr w14:val="tx1"/>
            </w14:solidFill>
          </w14:textFill>
        </w:rPr>
        <w:t>医疗机构</w:t>
      </w:r>
      <w:r>
        <w:rPr>
          <w:rFonts w:hint="eastAsia" w:asciiTheme="minorEastAsia" w:hAnsiTheme="minorEastAsia" w:eastAsiaTheme="minorEastAsia" w:cstheme="minorEastAsia"/>
          <w:bCs w:val="0"/>
          <w:color w:val="000000" w:themeColor="text1"/>
          <w14:textFill>
            <w14:solidFill>
              <w14:schemeClr w14:val="tx1"/>
            </w14:solidFill>
          </w14:textFill>
        </w:rPr>
        <w:t>中，</w:t>
      </w:r>
      <w:r>
        <w:rPr>
          <w:rFonts w:hint="eastAsia" w:asciiTheme="minorEastAsia" w:hAnsiTheme="minorEastAsia" w:eastAsiaTheme="minorEastAsia" w:cstheme="minorEastAsia"/>
          <w:bCs w:val="0"/>
          <w:color w:val="000000" w:themeColor="text1"/>
          <w:lang w:val="zh-CN"/>
          <w14:textFill>
            <w14:solidFill>
              <w14:schemeClr w14:val="tx1"/>
            </w14:solidFill>
          </w14:textFill>
        </w:rPr>
        <w:t>诊断明确、病情稳定、进入康复期或恢复期（如代谢综合征等）的患者；诊断明确、病情稳定、需长期管理的慢性病（如肿瘤维持治疗期或长期管理期等）患者；诊断明确、病情稳定、术后恢复期需继续康复训练及治疗（如骨科术后康复等）的患者；</w:t>
      </w:r>
      <w:r>
        <w:rPr>
          <w:rFonts w:hint="eastAsia" w:asciiTheme="minorEastAsia" w:hAnsiTheme="minorEastAsia" w:eastAsiaTheme="minorEastAsia" w:cstheme="minorEastAsia"/>
          <w:bCs w:val="0"/>
          <w:color w:val="000000" w:themeColor="text1"/>
          <w14:textFill>
            <w14:solidFill>
              <w14:schemeClr w14:val="tx1"/>
            </w14:solidFill>
          </w14:textFill>
        </w:rPr>
        <w:t>医院</w:t>
      </w:r>
      <w:r>
        <w:rPr>
          <w:rFonts w:hint="eastAsia" w:asciiTheme="minorEastAsia" w:hAnsiTheme="minorEastAsia" w:eastAsiaTheme="minorEastAsia" w:cstheme="minorEastAsia"/>
          <w:bCs w:val="0"/>
          <w:color w:val="000000" w:themeColor="text1"/>
          <w:lang w:val="zh-CN"/>
          <w14:textFill>
            <w14:solidFill>
              <w14:schemeClr w14:val="tx1"/>
            </w14:solidFill>
          </w14:textFill>
        </w:rPr>
        <w:t>指定联络员应提前与</w:t>
      </w:r>
      <w:r>
        <w:rPr>
          <w:rFonts w:hint="eastAsia" w:asciiTheme="minorEastAsia" w:hAnsiTheme="minorEastAsia" w:eastAsiaTheme="minorEastAsia" w:cstheme="minorEastAsia"/>
          <w:bCs w:val="0"/>
          <w:color w:val="000000" w:themeColor="text1"/>
          <w14:textFill>
            <w14:solidFill>
              <w14:schemeClr w14:val="tx1"/>
            </w14:solidFill>
          </w14:textFill>
        </w:rPr>
        <w:t>服务中心进行沟通</w:t>
      </w:r>
      <w:r>
        <w:rPr>
          <w:rFonts w:hint="eastAsia" w:asciiTheme="minorEastAsia" w:hAnsiTheme="minorEastAsia" w:eastAsiaTheme="minorEastAsia" w:cstheme="minorEastAsia"/>
          <w:bCs w:val="0"/>
          <w:color w:val="000000" w:themeColor="text1"/>
          <w:lang w:val="zh-CN"/>
          <w14:textFill>
            <w14:solidFill>
              <w14:schemeClr w14:val="tx1"/>
            </w14:solidFill>
          </w14:textFill>
        </w:rPr>
        <w:t>或预约，确保患者得到优先接诊。</w:t>
      </w:r>
    </w:p>
    <w:p w14:paraId="23F6232B">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三</w:t>
      </w:r>
      <w:r>
        <w:rPr>
          <w:rFonts w:hint="eastAsia" w:asciiTheme="minorEastAsia" w:hAnsiTheme="minorEastAsia" w:eastAsiaTheme="minorEastAsia" w:cstheme="minorEastAsia"/>
          <w:bCs w:val="0"/>
          <w:color w:val="000000" w:themeColor="text1"/>
          <w:lang w:val="zh-CN"/>
          <w14:textFill>
            <w14:solidFill>
              <w14:schemeClr w14:val="tx1"/>
            </w14:solidFill>
          </w14:textFill>
        </w:rPr>
        <w:t>）诊前服务</w:t>
      </w:r>
    </w:p>
    <w:p w14:paraId="0E0EE593">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1.会诊专家信息咨询</w:t>
      </w:r>
    </w:p>
    <w:p w14:paraId="427113E2">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w:t>
      </w:r>
      <w:r>
        <w:rPr>
          <w:rFonts w:hint="eastAsia" w:cs="宋体"/>
          <w:bCs w:val="0"/>
          <w:color w:val="000000" w:themeColor="text1"/>
          <w:szCs w:val="21"/>
          <w14:textFill>
            <w14:solidFill>
              <w14:schemeClr w14:val="tx1"/>
            </w14:solidFill>
          </w14:textFill>
        </w:rPr>
        <w:t>上海及国内其他医疗高地国家级、省级重点学科及专家团队数据库整理备询，</w:t>
      </w:r>
      <w:r>
        <w:rPr>
          <w:rFonts w:hint="eastAsia" w:asciiTheme="minorEastAsia" w:hAnsiTheme="minorEastAsia" w:eastAsiaTheme="minorEastAsia" w:cstheme="minorEastAsia"/>
          <w:bCs w:val="0"/>
          <w:color w:val="000000" w:themeColor="text1"/>
          <w14:textFill>
            <w14:solidFill>
              <w14:schemeClr w14:val="tx1"/>
            </w14:solidFill>
          </w14:textFill>
        </w:rPr>
        <w:t>入库副高级以上专家不低于60位；</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bCs w:val="0"/>
          <w:color w:val="000000" w:themeColor="text1"/>
          <w14:textFill>
            <w14:solidFill>
              <w14:schemeClr w14:val="tx1"/>
            </w14:solidFill>
          </w14:textFill>
        </w:rPr>
        <w:t>需要服务商提供合作专家名单，格式自拟</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p>
    <w:p w14:paraId="3C24AA8F">
      <w:pPr>
        <w:widowControl w:val="0"/>
        <w:autoSpaceDE w:val="0"/>
        <w:autoSpaceDN w:val="0"/>
        <w:adjustRightInd w:val="0"/>
        <w:spacing w:after="0" w:line="440" w:lineRule="exact"/>
        <w:ind w:firstLine="480" w:firstLineChars="200"/>
        <w:rPr>
          <w:rFonts w:asciiTheme="minorEastAsia" w:hAnsiTheme="minorEastAsia" w:eastAsiaTheme="minorEastAsia" w:cstheme="minorEastAsia"/>
          <w:color w:val="000000" w:themeColor="text1"/>
          <w:lang w:val="zh-CN"/>
          <w14:textFill>
            <w14:solidFill>
              <w14:schemeClr w14:val="tx1"/>
            </w14:solidFill>
          </w14:textFill>
        </w:rPr>
      </w:pPr>
      <w:r>
        <w:rPr>
          <w:rFonts w:hint="eastAsia" w:asciiTheme="minorEastAsia" w:hAnsiTheme="minorEastAsia" w:eastAsiaTheme="minorEastAsia" w:cstheme="minorEastAsia"/>
          <w:color w:val="000000" w:themeColor="text1"/>
          <w:lang w:val="zh-CN"/>
          <w14:textFill>
            <w14:solidFill>
              <w14:schemeClr w14:val="tx1"/>
            </w14:solidFill>
          </w14:textFill>
        </w:rPr>
        <w:t>（2）根据</w:t>
      </w:r>
      <w:r>
        <w:rPr>
          <w:rFonts w:hint="eastAsia" w:asciiTheme="minorEastAsia" w:hAnsiTheme="minorEastAsia" w:eastAsiaTheme="minorEastAsia" w:cstheme="minorEastAsia"/>
          <w:color w:val="000000" w:themeColor="text1"/>
          <w14:textFill>
            <w14:solidFill>
              <w14:schemeClr w14:val="tx1"/>
            </w14:solidFill>
          </w14:textFill>
        </w:rPr>
        <w:t>采购人</w:t>
      </w:r>
      <w:r>
        <w:rPr>
          <w:rFonts w:hint="eastAsia" w:asciiTheme="minorEastAsia" w:hAnsiTheme="minorEastAsia" w:eastAsiaTheme="minorEastAsia" w:cstheme="minorEastAsia"/>
          <w:color w:val="000000" w:themeColor="text1"/>
          <w:lang w:val="zh-CN"/>
          <w14:textFill>
            <w14:solidFill>
              <w14:schemeClr w14:val="tx1"/>
            </w14:solidFill>
          </w14:textFill>
        </w:rPr>
        <w:t>或患者要求，提供拟邀请专家、备选专家所在医院及专家本人最新资料、专家日程安排等详细信息备询。</w:t>
      </w:r>
    </w:p>
    <w:p w14:paraId="24E16317">
      <w:pPr>
        <w:widowControl w:val="0"/>
        <w:autoSpaceDE w:val="0"/>
        <w:autoSpaceDN w:val="0"/>
        <w:adjustRightInd w:val="0"/>
        <w:spacing w:after="0" w:line="440" w:lineRule="exact"/>
        <w:ind w:firstLine="480" w:firstLineChars="200"/>
        <w:rPr>
          <w:rFonts w:asciiTheme="minorEastAsia" w:hAnsiTheme="minorEastAsia" w:eastAsiaTheme="minorEastAsia" w:cstheme="minorEastAsia"/>
          <w:color w:val="000000" w:themeColor="text1"/>
          <w:lang w:val="zh-CN"/>
          <w14:textFill>
            <w14:solidFill>
              <w14:schemeClr w14:val="tx1"/>
            </w14:solidFill>
          </w14:textFill>
        </w:rPr>
      </w:pPr>
      <w:r>
        <w:rPr>
          <w:rFonts w:hint="eastAsia" w:asciiTheme="minorEastAsia" w:hAnsiTheme="minorEastAsia" w:eastAsiaTheme="minorEastAsia" w:cstheme="minorEastAsia"/>
          <w:color w:val="000000" w:themeColor="text1"/>
          <w:lang w:val="zh-CN"/>
          <w14:textFill>
            <w14:solidFill>
              <w14:schemeClr w14:val="tx1"/>
            </w14:solidFill>
          </w14:textFill>
        </w:rPr>
        <w:t>2.会诊意向确认</w:t>
      </w:r>
    </w:p>
    <w:p w14:paraId="089D1141">
      <w:pPr>
        <w:widowControl w:val="0"/>
        <w:autoSpaceDE w:val="0"/>
        <w:autoSpaceDN w:val="0"/>
        <w:adjustRightInd w:val="0"/>
        <w:spacing w:after="0" w:line="440" w:lineRule="exact"/>
        <w:ind w:firstLine="480" w:firstLineChars="200"/>
        <w:rPr>
          <w:rFonts w:asciiTheme="minorEastAsia" w:hAnsiTheme="minorEastAsia" w:eastAsiaTheme="minorEastAsia" w:cstheme="minorEastAsia"/>
          <w:color w:val="000000" w:themeColor="text1"/>
          <w:lang w:val="zh-CN"/>
          <w14:textFill>
            <w14:solidFill>
              <w14:schemeClr w14:val="tx1"/>
            </w14:solidFill>
          </w14:textFill>
        </w:rPr>
      </w:pPr>
      <w:r>
        <w:rPr>
          <w:rFonts w:hint="eastAsia" w:asciiTheme="minorEastAsia" w:hAnsiTheme="minorEastAsia" w:eastAsiaTheme="minorEastAsia" w:cstheme="minorEastAsia"/>
          <w:color w:val="000000" w:themeColor="text1"/>
          <w:lang w:val="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r>
        <w:rPr>
          <w:rFonts w:hint="eastAsia" w:asciiTheme="minorEastAsia" w:hAnsiTheme="minorEastAsia" w:eastAsiaTheme="minorEastAsia" w:cstheme="minorEastAsia"/>
          <w:color w:val="000000" w:themeColor="text1"/>
          <w:lang w:val="zh-CN"/>
          <w14:textFill>
            <w14:solidFill>
              <w14:schemeClr w14:val="tx1"/>
            </w14:solidFill>
          </w14:textFill>
        </w:rPr>
        <w:t>）对各方关切的风险、费用等问题予以充分反馈和交流，做到信息透明、充分知情，确认会诊意向；</w:t>
      </w:r>
    </w:p>
    <w:p w14:paraId="3266923D">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color w:val="000000" w:themeColor="text1"/>
          <w:lang w:val="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r>
        <w:rPr>
          <w:rFonts w:hint="eastAsia" w:asciiTheme="minorEastAsia" w:hAnsiTheme="minorEastAsia" w:eastAsiaTheme="minorEastAsia" w:cstheme="minorEastAsia"/>
          <w:color w:val="000000" w:themeColor="text1"/>
          <w:lang w:val="zh-CN"/>
          <w14:textFill>
            <w14:solidFill>
              <w14:schemeClr w14:val="tx1"/>
            </w14:solidFill>
          </w14:textFill>
        </w:rPr>
        <w:t>）与患者或其监护人签署会诊咨询服务协议</w:t>
      </w:r>
      <w:r>
        <w:rPr>
          <w:rFonts w:hint="eastAsia" w:asciiTheme="minorEastAsia" w:hAnsiTheme="minorEastAsia" w:eastAsiaTheme="minorEastAsia" w:cstheme="minorEastAsia"/>
          <w:bCs w:val="0"/>
          <w:color w:val="000000" w:themeColor="text1"/>
          <w:lang w:val="zh-CN"/>
          <w14:textFill>
            <w14:solidFill>
              <w14:schemeClr w14:val="tx1"/>
            </w14:solidFill>
          </w14:textFill>
        </w:rPr>
        <w:t>，约定会诊时间，收取会诊服务费用（</w:t>
      </w:r>
      <w:r>
        <w:rPr>
          <w:rFonts w:hint="eastAsia" w:asciiTheme="minorEastAsia" w:hAnsiTheme="minorEastAsia" w:eastAsiaTheme="minorEastAsia" w:cstheme="minorEastAsia"/>
          <w:bCs w:val="0"/>
          <w:color w:val="000000" w:themeColor="text1"/>
          <w14:textFill>
            <w14:solidFill>
              <w14:schemeClr w14:val="tx1"/>
            </w14:solidFill>
          </w14:textFill>
        </w:rPr>
        <w:t>含专家的通勤、食宿等费用等</w:t>
      </w:r>
      <w:r>
        <w:rPr>
          <w:rFonts w:hint="eastAsia" w:asciiTheme="minorEastAsia" w:hAnsiTheme="minorEastAsia" w:eastAsiaTheme="minorEastAsia" w:cstheme="minorEastAsia"/>
          <w:bCs w:val="0"/>
          <w:color w:val="000000" w:themeColor="text1"/>
          <w:lang w:val="zh-CN"/>
          <w14:textFill>
            <w14:solidFill>
              <w14:schemeClr w14:val="tx1"/>
            </w14:solidFill>
          </w14:textFill>
        </w:rPr>
        <w:t>），提供正式收费票据。</w:t>
      </w:r>
    </w:p>
    <w:p w14:paraId="08C077B5">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3</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整理患者资料病史，对专家发出会诊邀请。</w:t>
      </w:r>
    </w:p>
    <w:p w14:paraId="0012229A">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3.专家行程安排与诊前沟通</w:t>
      </w:r>
    </w:p>
    <w:p w14:paraId="374A45B6">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（1）根据约定的会诊时间，规划专家会诊行程，同步通报专家、</w:t>
      </w:r>
      <w:r>
        <w:rPr>
          <w:rFonts w:hint="eastAsia" w:asciiTheme="minorEastAsia" w:hAnsiTheme="minorEastAsia" w:eastAsiaTheme="minorEastAsia" w:cstheme="minorEastAsia"/>
          <w:color w:val="000000" w:themeColor="text1"/>
          <w14:textFill>
            <w14:solidFill>
              <w14:schemeClr w14:val="tx1"/>
            </w14:solidFill>
          </w14:textFill>
        </w:rPr>
        <w:t>采购人</w:t>
      </w:r>
      <w:r>
        <w:rPr>
          <w:rFonts w:hint="eastAsia" w:asciiTheme="minorEastAsia" w:hAnsiTheme="minorEastAsia" w:eastAsiaTheme="minorEastAsia" w:cstheme="minorEastAsia"/>
          <w:bCs w:val="0"/>
          <w:color w:val="000000" w:themeColor="text1"/>
          <w:lang w:val="zh-CN"/>
          <w14:textFill>
            <w14:solidFill>
              <w14:schemeClr w14:val="tx1"/>
            </w14:solidFill>
          </w14:textFill>
        </w:rPr>
        <w:t>、患者；</w:t>
      </w:r>
    </w:p>
    <w:p w14:paraId="7E10ABED">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（2）根据专家行程进展，提醒</w:t>
      </w:r>
      <w:r>
        <w:rPr>
          <w:rFonts w:hint="eastAsia" w:asciiTheme="minorEastAsia" w:hAnsiTheme="minorEastAsia" w:eastAsiaTheme="minorEastAsia" w:cstheme="minorEastAsia"/>
          <w:color w:val="000000" w:themeColor="text1"/>
          <w14:textFill>
            <w14:solidFill>
              <w14:schemeClr w14:val="tx1"/>
            </w14:solidFill>
          </w14:textFill>
        </w:rPr>
        <w:t>采购人</w:t>
      </w:r>
      <w:r>
        <w:rPr>
          <w:rFonts w:hint="eastAsia" w:asciiTheme="minorEastAsia" w:hAnsiTheme="minorEastAsia" w:eastAsiaTheme="minorEastAsia" w:cstheme="minorEastAsia"/>
          <w:bCs w:val="0"/>
          <w:color w:val="000000" w:themeColor="text1"/>
          <w:lang w:val="zh-CN"/>
          <w14:textFill>
            <w14:solidFill>
              <w14:schemeClr w14:val="tx1"/>
            </w14:solidFill>
          </w14:textFill>
        </w:rPr>
        <w:t>和患者做好诊前、术前准备和服务对接。</w:t>
      </w:r>
    </w:p>
    <w:p w14:paraId="33C8E01D">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四</w:t>
      </w:r>
      <w:r>
        <w:rPr>
          <w:rFonts w:hint="eastAsia" w:asciiTheme="minorEastAsia" w:hAnsiTheme="minorEastAsia" w:eastAsiaTheme="minorEastAsia" w:cstheme="minorEastAsia"/>
          <w:bCs w:val="0"/>
          <w:color w:val="000000" w:themeColor="text1"/>
          <w:lang w:val="zh-CN"/>
          <w14:textFill>
            <w14:solidFill>
              <w14:schemeClr w14:val="tx1"/>
            </w14:solidFill>
          </w14:textFill>
        </w:rPr>
        <w:t>）诊中服务</w:t>
      </w:r>
    </w:p>
    <w:p w14:paraId="1A884E8D">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1</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线上会诊组织与主持、保持会诊秩序</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p>
    <w:p w14:paraId="10E229D4">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2</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专家会诊意见记录，患者病例资料补充传输等。</w:t>
      </w:r>
    </w:p>
    <w:p w14:paraId="3ABB863F">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五</w:t>
      </w:r>
      <w:r>
        <w:rPr>
          <w:rFonts w:hint="eastAsia" w:asciiTheme="minorEastAsia" w:hAnsiTheme="minorEastAsia" w:eastAsiaTheme="minorEastAsia" w:cstheme="minorEastAsia"/>
          <w:bCs w:val="0"/>
          <w:color w:val="000000" w:themeColor="text1"/>
          <w:lang w:val="zh-CN"/>
          <w14:textFill>
            <w14:solidFill>
              <w14:schemeClr w14:val="tx1"/>
            </w14:solidFill>
          </w14:textFill>
        </w:rPr>
        <w:t>）诊后服务</w:t>
      </w:r>
    </w:p>
    <w:p w14:paraId="4D48539A">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1.诊后随访</w:t>
      </w:r>
    </w:p>
    <w:p w14:paraId="4A50B36B">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（1）会诊结束后，定期对患者进行随访，跟进了解患者治疗效果、病情变化、恢复情况，并将随访信息及时反馈给经治科室和会诊专家；</w:t>
      </w:r>
    </w:p>
    <w:p w14:paraId="4CEE1C9A">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（2）对会诊服务开展满意度调查，了解患者的会诊服务体验、对经治科室与会诊专家的评价，持续提升服务质量。</w:t>
      </w:r>
    </w:p>
    <w:p w14:paraId="110026DE">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2</w:t>
      </w:r>
      <w:r>
        <w:rPr>
          <w:rFonts w:hint="eastAsia" w:asciiTheme="minorEastAsia" w:hAnsiTheme="minorEastAsia" w:eastAsiaTheme="minorEastAsia" w:cstheme="minorEastAsia"/>
          <w:bCs w:val="0"/>
          <w:color w:val="000000" w:themeColor="text1"/>
          <w:lang w:val="zh-CN"/>
          <w14:textFill>
            <w14:solidFill>
              <w14:schemeClr w14:val="tx1"/>
            </w14:solidFill>
          </w14:textFill>
        </w:rPr>
        <w:t>.结合会诊大数据，为</w:t>
      </w:r>
      <w:r>
        <w:rPr>
          <w:rFonts w:hint="eastAsia" w:asciiTheme="minorEastAsia" w:hAnsiTheme="minorEastAsia" w:eastAsiaTheme="minorEastAsia" w:cstheme="minorEastAsia"/>
          <w:color w:val="000000" w:themeColor="text1"/>
          <w14:textFill>
            <w14:solidFill>
              <w14:schemeClr w14:val="tx1"/>
            </w14:solidFill>
          </w14:textFill>
        </w:rPr>
        <w:t>采购人</w:t>
      </w:r>
      <w:r>
        <w:rPr>
          <w:rFonts w:hint="eastAsia" w:asciiTheme="minorEastAsia" w:hAnsiTheme="minorEastAsia" w:eastAsiaTheme="minorEastAsia" w:cstheme="minorEastAsia"/>
          <w:bCs w:val="0"/>
          <w:color w:val="000000" w:themeColor="text1"/>
          <w:lang w:val="zh-CN"/>
          <w14:textFill>
            <w14:solidFill>
              <w14:schemeClr w14:val="tx1"/>
            </w14:solidFill>
          </w14:textFill>
        </w:rPr>
        <w:t>对接学科建设服务。</w:t>
      </w:r>
    </w:p>
    <w:p w14:paraId="65D657AE">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六</w:t>
      </w: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服务流程</w:t>
      </w:r>
    </w:p>
    <w:p w14:paraId="40CE6996">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1.</w:t>
      </w:r>
      <w:r>
        <w:rPr>
          <w:rFonts w:hint="eastAsia" w:asciiTheme="minorEastAsia" w:hAnsiTheme="minorEastAsia" w:eastAsiaTheme="minorEastAsia" w:cstheme="minorEastAsia"/>
          <w:bCs w:val="0"/>
          <w:color w:val="000000" w:themeColor="text1"/>
          <w14:textFill>
            <w14:solidFill>
              <w14:schemeClr w14:val="tx1"/>
            </w14:solidFill>
          </w14:textFill>
        </w:rPr>
        <w:t>患者</w:t>
      </w:r>
      <w:r>
        <w:rPr>
          <w:rFonts w:hint="eastAsia" w:asciiTheme="minorEastAsia" w:hAnsiTheme="minorEastAsia" w:eastAsiaTheme="minorEastAsia" w:cstheme="minorEastAsia"/>
          <w:bCs w:val="0"/>
          <w:color w:val="000000" w:themeColor="text1"/>
          <w:lang w:val="zh-CN"/>
          <w14:textFill>
            <w14:solidFill>
              <w14:schemeClr w14:val="tx1"/>
            </w14:solidFill>
          </w14:textFill>
        </w:rPr>
        <w:t>提出会诊服务需求；</w:t>
      </w:r>
    </w:p>
    <w:p w14:paraId="5293AD04">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2.</w:t>
      </w:r>
      <w:r>
        <w:rPr>
          <w:rFonts w:hint="eastAsia" w:asciiTheme="minorEastAsia" w:hAnsiTheme="minorEastAsia" w:eastAsiaTheme="minorEastAsia" w:cstheme="minorEastAsia"/>
          <w:bCs w:val="0"/>
          <w:color w:val="000000" w:themeColor="text1"/>
          <w14:textFill>
            <w14:solidFill>
              <w14:schemeClr w14:val="tx1"/>
            </w14:solidFill>
          </w14:textFill>
        </w:rPr>
        <w:t>确定</w:t>
      </w:r>
      <w:r>
        <w:rPr>
          <w:rFonts w:hint="eastAsia" w:asciiTheme="minorEastAsia" w:hAnsiTheme="minorEastAsia" w:eastAsiaTheme="minorEastAsia" w:cstheme="minorEastAsia"/>
          <w:bCs w:val="0"/>
          <w:color w:val="000000" w:themeColor="text1"/>
          <w:lang w:val="zh-CN"/>
          <w14:textFill>
            <w14:solidFill>
              <w14:schemeClr w14:val="tx1"/>
            </w14:solidFill>
          </w14:textFill>
        </w:rPr>
        <w:t>邀请专家人选；</w:t>
      </w:r>
    </w:p>
    <w:p w14:paraId="3E5B7925">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3.履行会诊邀请手续，发出会诊邀请；</w:t>
      </w:r>
    </w:p>
    <w:p w14:paraId="41A5CF77">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4.采集患者病史资料，经患者及</w:t>
      </w:r>
      <w:r>
        <w:rPr>
          <w:rFonts w:hint="eastAsia" w:asciiTheme="minorEastAsia" w:hAnsiTheme="minorEastAsia" w:eastAsiaTheme="minorEastAsia" w:cstheme="minorEastAsia"/>
          <w:color w:val="000000" w:themeColor="text1"/>
          <w14:textFill>
            <w14:solidFill>
              <w14:schemeClr w14:val="tx1"/>
            </w14:solidFill>
          </w14:textFill>
        </w:rPr>
        <w:t>采购人</w:t>
      </w:r>
      <w:r>
        <w:rPr>
          <w:rFonts w:hint="eastAsia" w:asciiTheme="minorEastAsia" w:hAnsiTheme="minorEastAsia" w:eastAsiaTheme="minorEastAsia" w:cstheme="minorEastAsia"/>
          <w:bCs w:val="0"/>
          <w:color w:val="000000" w:themeColor="text1"/>
          <w:lang w:val="zh-CN"/>
          <w14:textFill>
            <w14:solidFill>
              <w14:schemeClr w14:val="tx1"/>
            </w14:solidFill>
          </w14:textFill>
        </w:rPr>
        <w:t>同意后发送给会诊专家；</w:t>
      </w:r>
    </w:p>
    <w:p w14:paraId="32F30B61">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5</w:t>
      </w:r>
      <w:r>
        <w:rPr>
          <w:rFonts w:hint="eastAsia" w:asciiTheme="minorEastAsia" w:hAnsiTheme="minorEastAsia" w:eastAsiaTheme="minorEastAsia" w:cstheme="minorEastAsia"/>
          <w:bCs w:val="0"/>
          <w:color w:val="000000" w:themeColor="text1"/>
          <w:lang w:val="zh-CN"/>
          <w14:textFill>
            <w14:solidFill>
              <w14:schemeClr w14:val="tx1"/>
            </w14:solidFill>
          </w14:textFill>
        </w:rPr>
        <w:t>.签署《会诊咨询服务协议》，收取服务费，并提供正式票据；</w:t>
      </w:r>
    </w:p>
    <w:p w14:paraId="7198E3EB">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6</w:t>
      </w:r>
      <w:r>
        <w:rPr>
          <w:rFonts w:hint="eastAsia" w:asciiTheme="minorEastAsia" w:hAnsiTheme="minorEastAsia" w:eastAsiaTheme="minorEastAsia" w:cstheme="minorEastAsia"/>
          <w:bCs w:val="0"/>
          <w:color w:val="000000" w:themeColor="text1"/>
          <w:lang w:val="zh-CN"/>
          <w14:textFill>
            <w14:solidFill>
              <w14:schemeClr w14:val="tx1"/>
            </w14:solidFill>
          </w14:textFill>
        </w:rPr>
        <w:t>.按约开展会诊。</w:t>
      </w:r>
    </w:p>
    <w:p w14:paraId="0B91AB5E">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w:t>
      </w:r>
      <w:r>
        <w:rPr>
          <w:rFonts w:hint="eastAsia" w:asciiTheme="minorEastAsia" w:hAnsiTheme="minorEastAsia" w:eastAsiaTheme="minorEastAsia" w:cstheme="minorEastAsia"/>
          <w:bCs w:val="0"/>
          <w:color w:val="000000" w:themeColor="text1"/>
          <w14:textFill>
            <w14:solidFill>
              <w14:schemeClr w14:val="tx1"/>
            </w14:solidFill>
          </w14:textFill>
        </w:rPr>
        <w:t>七</w:t>
      </w:r>
      <w:r>
        <w:rPr>
          <w:rFonts w:hint="eastAsia" w:asciiTheme="minorEastAsia" w:hAnsiTheme="minorEastAsia" w:eastAsiaTheme="minorEastAsia" w:cstheme="minorEastAsia"/>
          <w:bCs w:val="0"/>
          <w:color w:val="000000" w:themeColor="text1"/>
          <w:lang w:val="zh-CN"/>
          <w14:textFill>
            <w14:solidFill>
              <w14:schemeClr w14:val="tx1"/>
            </w14:solidFill>
          </w14:textFill>
        </w:rPr>
        <w:t>）响应组织</w:t>
      </w:r>
    </w:p>
    <w:p w14:paraId="077AB4E9">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r>
        <w:rPr>
          <w:rFonts w:hint="eastAsia" w:asciiTheme="minorEastAsia" w:hAnsiTheme="minorEastAsia" w:eastAsiaTheme="minorEastAsia" w:cstheme="minorEastAsia"/>
          <w:bCs w:val="0"/>
          <w:color w:val="000000" w:themeColor="text1"/>
          <w:lang w:val="zh-CN"/>
          <w14:textFill>
            <w14:solidFill>
              <w14:schemeClr w14:val="tx1"/>
            </w14:solidFill>
          </w14:textFill>
        </w:rPr>
        <w:t>会诊服务全程由</w:t>
      </w:r>
      <w:r>
        <w:rPr>
          <w:rFonts w:hint="eastAsia" w:asciiTheme="minorEastAsia" w:hAnsiTheme="minorEastAsia" w:eastAsiaTheme="minorEastAsia" w:cstheme="minorEastAsia"/>
          <w:bCs w:val="0"/>
          <w:color w:val="000000" w:themeColor="text1"/>
          <w14:textFill>
            <w14:solidFill>
              <w14:schemeClr w14:val="tx1"/>
            </w14:solidFill>
          </w14:textFill>
        </w:rPr>
        <w:t>服务商</w:t>
      </w:r>
      <w:r>
        <w:rPr>
          <w:rFonts w:hint="eastAsia" w:asciiTheme="minorEastAsia" w:hAnsiTheme="minorEastAsia" w:eastAsiaTheme="minorEastAsia" w:cstheme="minorEastAsia"/>
          <w:bCs w:val="0"/>
          <w:color w:val="000000" w:themeColor="text1"/>
          <w:lang w:val="zh-CN"/>
          <w14:textFill>
            <w14:solidFill>
              <w14:schemeClr w14:val="tx1"/>
            </w14:solidFill>
          </w14:textFill>
        </w:rPr>
        <w:t>组织实施。</w:t>
      </w:r>
    </w:p>
    <w:p w14:paraId="454F6ACF">
      <w:pPr>
        <w:widowControl w:val="0"/>
        <w:numPr>
          <w:ilvl w:val="0"/>
          <w:numId w:val="1"/>
        </w:numPr>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会诊中心考核任务</w:t>
      </w:r>
    </w:p>
    <w:p w14:paraId="16C850D6">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1.过程考核指标：</w:t>
      </w:r>
    </w:p>
    <w:p w14:paraId="05749021">
      <w:pPr>
        <w:pStyle w:val="2"/>
        <w:spacing w:after="0" w:line="480" w:lineRule="exact"/>
        <w:ind w:firstLine="480" w:firstLineChars="200"/>
        <w:rPr>
          <w:rFonts w:asciiTheme="minorEastAsia" w:hAnsiTheme="minorEastAsia" w:eastAsiaTheme="minorEastAsia" w:cstheme="minorEastAsia"/>
          <w:bCs w:val="0"/>
          <w:color w:val="000000" w:themeColor="text1"/>
          <w:sz w:val="24"/>
          <w:lang w:eastAsia="zh-CN"/>
          <w14:textFill>
            <w14:solidFill>
              <w14:schemeClr w14:val="tx1"/>
            </w14:solidFill>
          </w14:textFill>
        </w:rPr>
      </w:pPr>
      <w:r>
        <w:rPr>
          <w:rFonts w:asciiTheme="minorEastAsia" w:hAnsiTheme="minorEastAsia" w:eastAsiaTheme="minorEastAsia" w:cstheme="minorEastAsia"/>
          <w:bCs w:val="0"/>
          <w:color w:val="000000" w:themeColor="text1"/>
          <w:sz w:val="24"/>
          <w:lang w:eastAsia="zh-CN"/>
          <w14:textFill>
            <w14:solidFill>
              <w14:schemeClr w14:val="tx1"/>
            </w14:solidFill>
          </w14:textFill>
        </w:rPr>
        <w:fldChar w:fldCharType="begin"/>
      </w:r>
      <w:r>
        <w:rPr>
          <w:rFonts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 </w:instrText>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eq \o\ac(○,</w:instrText>
      </w:r>
      <w:r>
        <w:rPr>
          <w:rFonts w:hint="eastAsia" w:ascii="宋体" w:hAnsiTheme="minorEastAsia" w:eastAsiaTheme="minorEastAsia" w:cstheme="minorEastAsia"/>
          <w:bCs w:val="0"/>
          <w:color w:val="000000" w:themeColor="text1"/>
          <w:position w:val="3"/>
          <w:sz w:val="16"/>
          <w:lang w:eastAsia="zh-CN"/>
          <w14:textFill>
            <w14:solidFill>
              <w14:schemeClr w14:val="tx1"/>
            </w14:solidFill>
          </w14:textFill>
        </w:rPr>
        <w:instrText xml:space="preserve">1</w:instrText>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w:instrText>
      </w:r>
      <w:r>
        <w:rPr>
          <w:rFonts w:asciiTheme="minorEastAsia" w:hAnsiTheme="minorEastAsia" w:eastAsiaTheme="minorEastAsia" w:cstheme="minorEastAsia"/>
          <w:bCs w:val="0"/>
          <w:color w:val="000000" w:themeColor="text1"/>
          <w:sz w:val="24"/>
          <w:lang w:eastAsia="zh-CN"/>
          <w14:textFill>
            <w14:solidFill>
              <w14:schemeClr w14:val="tx1"/>
            </w14:solidFill>
          </w14:textFill>
        </w:rPr>
        <w:fldChar w:fldCharType="end"/>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医院对会诊中心服务流程、响应速度、沟通协调能力的满意度不低于95%；</w:t>
      </w:r>
    </w:p>
    <w:p w14:paraId="51EF1C8A">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asciiTheme="minorEastAsia" w:hAnsiTheme="minorEastAsia" w:eastAsiaTheme="minorEastAsia" w:cstheme="minorEastAsia"/>
          <w:bCs w:val="0"/>
          <w:color w:val="000000" w:themeColor="text1"/>
          <w14:textFill>
            <w14:solidFill>
              <w14:schemeClr w14:val="tx1"/>
            </w14:solidFill>
          </w14:textFill>
        </w:rPr>
        <w:fldChar w:fldCharType="begin"/>
      </w:r>
      <w:r>
        <w:rPr>
          <w:rFonts w:asciiTheme="minorEastAsia" w:hAnsiTheme="minorEastAsia" w:eastAsiaTheme="minorEastAsia" w:cstheme="minorEastAsia"/>
          <w:bCs w:val="0"/>
          <w:color w:val="000000" w:themeColor="text1"/>
          <w14:textFill>
            <w14:solidFill>
              <w14:schemeClr w14:val="tx1"/>
            </w14:solidFill>
          </w14:textFill>
        </w:rPr>
        <w:instrText xml:space="preserve"> </w:instrText>
      </w:r>
      <w:r>
        <w:rPr>
          <w:rFonts w:hint="eastAsia" w:asciiTheme="minorEastAsia" w:hAnsiTheme="minorEastAsia" w:eastAsiaTheme="minorEastAsia" w:cstheme="minorEastAsia"/>
          <w:bCs w:val="0"/>
          <w:color w:val="000000" w:themeColor="text1"/>
          <w14:textFill>
            <w14:solidFill>
              <w14:schemeClr w14:val="tx1"/>
            </w14:solidFill>
          </w14:textFill>
        </w:rPr>
        <w:instrText xml:space="preserve">eq \o\ac(○,</w:instrText>
      </w:r>
      <w:r>
        <w:rPr>
          <w:rFonts w:hint="eastAsia" w:hAnsiTheme="minorEastAsia" w:eastAsiaTheme="minorEastAsia" w:cstheme="minorEastAsia"/>
          <w:bCs w:val="0"/>
          <w:color w:val="000000" w:themeColor="text1"/>
          <w:position w:val="3"/>
          <w:sz w:val="16"/>
          <w14:textFill>
            <w14:solidFill>
              <w14:schemeClr w14:val="tx1"/>
            </w14:solidFill>
          </w14:textFill>
        </w:rPr>
        <w:instrText xml:space="preserve">2</w:instrText>
      </w:r>
      <w:r>
        <w:rPr>
          <w:rFonts w:hint="eastAsia" w:asciiTheme="minorEastAsia" w:hAnsiTheme="minorEastAsia" w:eastAsiaTheme="minorEastAsia" w:cstheme="minorEastAsia"/>
          <w:bCs w:val="0"/>
          <w:color w:val="000000" w:themeColor="text1"/>
          <w14:textFill>
            <w14:solidFill>
              <w14:schemeClr w14:val="tx1"/>
            </w14:solidFill>
          </w14:textFill>
        </w:rPr>
        <w:instrText xml:space="preserve">)</w:instrText>
      </w:r>
      <w:r>
        <w:rPr>
          <w:rFonts w:asciiTheme="minorEastAsia" w:hAnsiTheme="minorEastAsia" w:eastAsiaTheme="minorEastAsia" w:cstheme="minorEastAsia"/>
          <w:bCs w:val="0"/>
          <w:color w:val="000000" w:themeColor="text1"/>
          <w14:textFill>
            <w14:solidFill>
              <w14:schemeClr w14:val="tx1"/>
            </w14:solidFill>
          </w14:textFill>
        </w:rPr>
        <w:fldChar w:fldCharType="end"/>
      </w:r>
      <w:r>
        <w:rPr>
          <w:rFonts w:hint="eastAsia" w:asciiTheme="minorEastAsia" w:hAnsiTheme="minorEastAsia" w:eastAsiaTheme="minorEastAsia" w:cstheme="minorEastAsia"/>
          <w:bCs w:val="0"/>
          <w:color w:val="000000" w:themeColor="text1"/>
          <w14:textFill>
            <w14:solidFill>
              <w14:schemeClr w14:val="tx1"/>
            </w14:solidFill>
          </w14:textFill>
        </w:rPr>
        <w:t>患者对会诊服务的及时性和质量、服务人员态度、就医体验等方面的满意度不低于95%；</w:t>
      </w:r>
    </w:p>
    <w:p w14:paraId="15E1D3E9">
      <w:pPr>
        <w:pStyle w:val="2"/>
        <w:spacing w:after="0" w:line="480" w:lineRule="exact"/>
        <w:ind w:firstLine="480" w:firstLineChars="200"/>
        <w:rPr>
          <w:rFonts w:asciiTheme="minorEastAsia" w:hAnsiTheme="minorEastAsia" w:eastAsiaTheme="minorEastAsia" w:cstheme="minorEastAsia"/>
          <w:bCs w:val="0"/>
          <w:color w:val="000000" w:themeColor="text1"/>
          <w:sz w:val="24"/>
          <w:lang w:eastAsia="zh-CN"/>
          <w14:textFill>
            <w14:solidFill>
              <w14:schemeClr w14:val="tx1"/>
            </w14:solidFill>
          </w14:textFill>
        </w:rPr>
      </w:pPr>
      <w:r>
        <w:rPr>
          <w:rFonts w:asciiTheme="minorEastAsia" w:hAnsiTheme="minorEastAsia" w:eastAsiaTheme="minorEastAsia" w:cstheme="minorEastAsia"/>
          <w:bCs w:val="0"/>
          <w:color w:val="000000" w:themeColor="text1"/>
          <w:sz w:val="24"/>
          <w:lang w:eastAsia="zh-CN"/>
          <w14:textFill>
            <w14:solidFill>
              <w14:schemeClr w14:val="tx1"/>
            </w14:solidFill>
          </w14:textFill>
        </w:rPr>
        <w:fldChar w:fldCharType="begin"/>
      </w:r>
      <w:r>
        <w:rPr>
          <w:rFonts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 </w:instrText>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eq \o\ac(○,</w:instrText>
      </w:r>
      <w:r>
        <w:rPr>
          <w:rFonts w:hint="eastAsia" w:ascii="宋体" w:hAnsiTheme="minorEastAsia" w:eastAsiaTheme="minorEastAsia" w:cstheme="minorEastAsia"/>
          <w:bCs w:val="0"/>
          <w:color w:val="000000" w:themeColor="text1"/>
          <w:position w:val="3"/>
          <w:sz w:val="16"/>
          <w:lang w:eastAsia="zh-CN"/>
          <w14:textFill>
            <w14:solidFill>
              <w14:schemeClr w14:val="tx1"/>
            </w14:solidFill>
          </w14:textFill>
        </w:rPr>
        <w:instrText xml:space="preserve">3</w:instrText>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instrText xml:space="preserve">)</w:instrText>
      </w:r>
      <w:r>
        <w:rPr>
          <w:rFonts w:asciiTheme="minorEastAsia" w:hAnsiTheme="minorEastAsia" w:eastAsiaTheme="minorEastAsia" w:cstheme="minorEastAsia"/>
          <w:bCs w:val="0"/>
          <w:color w:val="000000" w:themeColor="text1"/>
          <w:sz w:val="24"/>
          <w:lang w:eastAsia="zh-CN"/>
          <w14:textFill>
            <w14:solidFill>
              <w14:schemeClr w14:val="tx1"/>
            </w14:solidFill>
          </w14:textFill>
        </w:rPr>
        <w:fldChar w:fldCharType="end"/>
      </w: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会诊服务中心引导阳性患者转化至临床科室不低于80%；</w:t>
      </w:r>
    </w:p>
    <w:p w14:paraId="1CF8AF71">
      <w:pPr>
        <w:pStyle w:val="2"/>
        <w:spacing w:after="0" w:line="480" w:lineRule="exact"/>
        <w:ind w:firstLine="480" w:firstLineChars="200"/>
        <w:rPr>
          <w:rFonts w:asciiTheme="minorEastAsia" w:hAnsiTheme="minorEastAsia" w:eastAsiaTheme="minorEastAsia" w:cstheme="minorEastAsia"/>
          <w:bCs w:val="0"/>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2.核心考核指标：会诊服务中心每年留院病例不低于60人次。</w:t>
      </w:r>
    </w:p>
    <w:p w14:paraId="35724C53">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lang w:val="zh-CN"/>
          <w14:textFill>
            <w14:solidFill>
              <w14:schemeClr w14:val="tx1"/>
            </w14:solidFill>
          </w14:textFill>
        </w:rPr>
      </w:pPr>
    </w:p>
    <w:p w14:paraId="4B1B850B">
      <w:pPr>
        <w:rPr>
          <w:color w:val="000000" w:themeColor="text1"/>
          <w14:textFill>
            <w14:solidFill>
              <w14:schemeClr w14:val="tx1"/>
            </w14:solidFill>
          </w14:textFill>
        </w:rPr>
      </w:pPr>
    </w:p>
    <w:p w14:paraId="0D61D3DE">
      <w:pPr>
        <w:widowControl w:val="0"/>
        <w:spacing w:after="0" w:line="440" w:lineRule="exact"/>
        <w:ind w:right="50"/>
        <w:rPr>
          <w:rFonts w:asciiTheme="minorEastAsia" w:hAnsiTheme="minorEastAsia" w:eastAsiaTheme="minorEastAsia" w:cstheme="minorEastAsia"/>
          <w:b/>
          <w:bCs w:val="0"/>
          <w:color w:val="000000" w:themeColor="text1"/>
          <w14:textFill>
            <w14:solidFill>
              <w14:schemeClr w14:val="tx1"/>
            </w14:solidFill>
          </w14:textFill>
        </w:rPr>
      </w:pPr>
      <w:r>
        <w:rPr>
          <w:rFonts w:hint="eastAsia" w:asciiTheme="minorEastAsia" w:hAnsiTheme="minorEastAsia" w:eastAsiaTheme="minorEastAsia" w:cstheme="minorEastAsia"/>
          <w:b/>
          <w:bCs w:val="0"/>
          <w:color w:val="000000" w:themeColor="text1"/>
          <w14:textFill>
            <w14:solidFill>
              <w14:schemeClr w14:val="tx1"/>
            </w14:solidFill>
          </w14:textFill>
        </w:rPr>
        <w:t>四、随访服务中心项目服务内容及要求</w:t>
      </w:r>
    </w:p>
    <w:p w14:paraId="11EE6C66">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（一）诊前随访</w:t>
      </w:r>
    </w:p>
    <w:p w14:paraId="7EBAB870">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在各种免费筛查、患者教育活动中，收集高危人群信息，由随访诊治中心工作人员定期进行随访；</w:t>
      </w:r>
    </w:p>
    <w:p w14:paraId="0B89D41E">
      <w:pPr>
        <w:rPr>
          <w:rFonts w:asciiTheme="minorEastAsia" w:hAnsiTheme="minorEastAsia" w:eastAsiaTheme="minorEastAsia" w:cstheme="minorEastAsia"/>
        </w:rPr>
      </w:pPr>
      <w:r>
        <w:rPr>
          <w:rFonts w:hint="eastAsia" w:asciiTheme="minorEastAsia" w:hAnsiTheme="minorEastAsia" w:eastAsiaTheme="minorEastAsia" w:cstheme="minorEastAsia"/>
          <w:color w:val="000000" w:themeColor="text1"/>
          <w14:textFill>
            <w14:solidFill>
              <w14:schemeClr w14:val="tx1"/>
            </w14:solidFill>
          </w14:textFill>
        </w:rPr>
        <w:t>针对随访诊治中心及下级医疗机构放射科、影像</w:t>
      </w:r>
      <w:r>
        <w:rPr>
          <w:rFonts w:hint="eastAsia" w:asciiTheme="minorEastAsia" w:hAnsiTheme="minorEastAsia" w:eastAsiaTheme="minorEastAsia" w:cstheme="minorEastAsia"/>
        </w:rPr>
        <w:t>室、体检中心等科室符合入组患者，由工作人员记录患者信息并定期随访和指导就医。</w:t>
      </w:r>
    </w:p>
    <w:p w14:paraId="563EED19">
      <w:pPr>
        <w:rPr>
          <w:rFonts w:asciiTheme="minorEastAsia" w:hAnsiTheme="minorEastAsia" w:eastAsiaTheme="minorEastAsia" w:cstheme="minorEastAsia"/>
        </w:rPr>
      </w:pPr>
      <w:r>
        <w:rPr>
          <w:rFonts w:hint="eastAsia" w:asciiTheme="minorEastAsia" w:hAnsiTheme="minorEastAsia" w:eastAsiaTheme="minorEastAsia" w:cstheme="minorEastAsia"/>
        </w:rPr>
        <w:t>（二）术前随访</w:t>
      </w:r>
    </w:p>
    <w:p w14:paraId="19818859">
      <w:pPr>
        <w:rPr>
          <w:rFonts w:asciiTheme="minorEastAsia" w:hAnsiTheme="minorEastAsia" w:eastAsiaTheme="minorEastAsia" w:cstheme="minorEastAsia"/>
        </w:rPr>
      </w:pPr>
      <w:r>
        <w:rPr>
          <w:rFonts w:hint="eastAsia" w:asciiTheme="minorEastAsia" w:hAnsiTheme="minorEastAsia" w:eastAsiaTheme="minorEastAsia" w:cstheme="minorEastAsia"/>
        </w:rPr>
        <w:t>对于至随访诊治中心就医的患者，工作人员根据管理中心医师建议定期随访，监测患者疾病进展情况，如达到手术指征，立即通知医师和患者进行下一步诊疗行为。</w:t>
      </w:r>
    </w:p>
    <w:p w14:paraId="1590D088">
      <w:pPr>
        <w:rPr>
          <w:rFonts w:asciiTheme="minorEastAsia" w:hAnsiTheme="minorEastAsia" w:eastAsiaTheme="minorEastAsia" w:cstheme="minorEastAsia"/>
        </w:rPr>
      </w:pPr>
      <w:r>
        <w:rPr>
          <w:rFonts w:hint="eastAsia" w:asciiTheme="minorEastAsia" w:hAnsiTheme="minorEastAsia" w:eastAsiaTheme="minorEastAsia" w:cstheme="minorEastAsia"/>
        </w:rPr>
        <w:t>（三）术后随访</w:t>
      </w:r>
    </w:p>
    <w:p w14:paraId="4DDFF772">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对于在随访诊治中心进行手术的患者，工作人员将在术后1天、1周、1个月进行术后随访及患者满意度调查，此外，将为患者提供全生命周期的随访和健康管理服务。</w:t>
      </w:r>
    </w:p>
    <w:p w14:paraId="78108ED5">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（四） 提供随访系统，并完成相关培训。</w:t>
      </w:r>
    </w:p>
    <w:p w14:paraId="2D5FE38B">
      <w:pPr>
        <w:rPr>
          <w:rFonts w:asciiTheme="minorEastAsia" w:hAnsiTheme="minorEastAsia" w:eastAsiaTheme="minorEastAsia" w:cstheme="minorEastAsia"/>
          <w:color w:val="000000" w:themeColor="text1"/>
          <w14:textFill>
            <w14:solidFill>
              <w14:schemeClr w14:val="tx1"/>
            </w14:solidFill>
          </w14:textFill>
        </w:rPr>
      </w:pPr>
    </w:p>
    <w:p w14:paraId="5992A3F3">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（五）中心管理</w:t>
      </w:r>
    </w:p>
    <w:p w14:paraId="7ECDCA72">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肺结节、甲乳结节随访诊治中心作为基层医院院内的便民服务平台，科学建立结节患者健康档案，全程按标准化随访，跟踪做好患者全流程结节疾病管理，做到科学防治结合。</w:t>
      </w:r>
    </w:p>
    <w:p w14:paraId="1FA8BDE8">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中心工作全程接受所在医院监督、管理，并全力配合医院慢病管理中心工作。</w:t>
      </w:r>
    </w:p>
    <w:p w14:paraId="7D008F5B">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中心工作管理制度如下：</w:t>
      </w:r>
    </w:p>
    <w:p w14:paraId="18F681AD">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1.设立运营部，负责随访诊治中心日常运营；至少需提供1名专职运营人员负责会诊中心运营工作；</w:t>
      </w:r>
    </w:p>
    <w:p w14:paraId="449A660B">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2.随访诊治中心服务人员日常工作由研究院运维部点对点管理；</w:t>
      </w:r>
    </w:p>
    <w:p w14:paraId="53F2EA64">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3.随访诊治中心服务人员由研究院统一招聘、培训、考核，合格后方可上岗； </w:t>
      </w:r>
    </w:p>
    <w:p w14:paraId="000F7904">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4.随访诊治中心服务人员需严格遵守研究院员工行为规范、会诊服务规范；</w:t>
      </w:r>
    </w:p>
    <w:p w14:paraId="48AD0A8F">
      <w:pP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5.随访诊治中心服务人员需严格遵守所在医院有关行为规范和管理制度要求，主动接受患者和医院的监督。</w:t>
      </w:r>
    </w:p>
    <w:p w14:paraId="37628FD7">
      <w:pPr>
        <w:widowControl w:val="0"/>
        <w:autoSpaceDE w:val="0"/>
        <w:autoSpaceDN w:val="0"/>
        <w:adjustRightInd w:val="0"/>
        <w:spacing w:after="0" w:line="440" w:lineRule="exact"/>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（六）</w:t>
      </w:r>
      <w:r>
        <w:rPr>
          <w:rFonts w:hint="eastAsia" w:asciiTheme="minorEastAsia" w:hAnsiTheme="minorEastAsia" w:eastAsiaTheme="minorEastAsia" w:cstheme="minorEastAsia"/>
          <w:bCs w:val="0"/>
          <w:color w:val="000000" w:themeColor="text1"/>
          <w14:textFill>
            <w14:solidFill>
              <w14:schemeClr w14:val="tx1"/>
            </w14:solidFill>
          </w14:textFill>
        </w:rPr>
        <w:t>随访中心考核任务</w:t>
      </w:r>
    </w:p>
    <w:p w14:paraId="0ED29C8F">
      <w:pPr>
        <w:widowControl w:val="0"/>
        <w:autoSpaceDE w:val="0"/>
        <w:autoSpaceDN w:val="0"/>
        <w:adjustRightInd w:val="0"/>
        <w:spacing w:after="0" w:line="440" w:lineRule="exact"/>
        <w:ind w:firstLine="480" w:firstLineChars="200"/>
        <w:rPr>
          <w:rFonts w:asciiTheme="minorEastAsia" w:hAnsiTheme="minorEastAsia" w:eastAsiaTheme="minorEastAsia" w:cstheme="minorEastAsia"/>
          <w:bCs w:val="0"/>
          <w:color w:val="000000" w:themeColor="text1"/>
          <w14:textFill>
            <w14:solidFill>
              <w14:schemeClr w14:val="tx1"/>
            </w14:solidFill>
          </w14:textFill>
        </w:rPr>
      </w:pPr>
      <w:r>
        <w:rPr>
          <w:rFonts w:hint="eastAsia" w:asciiTheme="minorEastAsia" w:hAnsiTheme="minorEastAsia" w:eastAsiaTheme="minorEastAsia" w:cstheme="minorEastAsia"/>
          <w:bCs w:val="0"/>
          <w:color w:val="000000" w:themeColor="text1"/>
          <w14:textFill>
            <w14:solidFill>
              <w14:schemeClr w14:val="tx1"/>
            </w14:solidFill>
          </w14:textFill>
        </w:rPr>
        <w:t>1.过程考核指标：</w:t>
      </w:r>
    </w:p>
    <w:p w14:paraId="3D91D6E5">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①</w:t>
      </w:r>
      <w:r>
        <w:rPr>
          <w:rFonts w:hint="eastAsia" w:asciiTheme="minorEastAsia" w:hAnsiTheme="minorEastAsia" w:eastAsiaTheme="minorEastAsia" w:cstheme="minorEastAsia"/>
          <w:color w:val="000000" w:themeColor="text1"/>
          <w:sz w:val="24"/>
          <w:lang w:eastAsia="zh-CN"/>
          <w14:textFill>
            <w14:solidFill>
              <w14:schemeClr w14:val="tx1"/>
            </w14:solidFill>
          </w14:textFill>
        </w:rPr>
        <w:t>随访执行率：达到 ≥90%。（实际完成随访的患者数 / 到期应随访的患者总数） × 100%。考核中心是否有效跟踪了所有需要随访的患者。</w:t>
      </w:r>
    </w:p>
    <w:p w14:paraId="634E57D1">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②高危结节漏追率：0%。对评估为高危（如肺结节Lung-RADS 4类以上，乳腺结节BI-RADS 4类以上）的患者，必须100%纳入紧急随访路径并确认其接受进一步诊疗。</w:t>
      </w:r>
    </w:p>
    <w:p w14:paraId="2CBADDB4">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lang w:eastAsia="zh-CN"/>
          <w14:textFill>
            <w14:solidFill>
              <w14:schemeClr w14:val="tx1"/>
            </w14:solidFill>
          </w14:textFill>
        </w:rPr>
        <w:t>患者随访依从性/失访率：失访率 ≤10%。（到期但未能完成随访且无法取得联系的患者数 / 到期应随访患者总数） × 100%。</w:t>
      </w:r>
    </w:p>
    <w:p w14:paraId="0BA59C0C">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④患者满意度： 满意度评分 ≥9</w:t>
      </w:r>
      <w:r>
        <w:rPr>
          <w:rFonts w:asciiTheme="minorEastAsia" w:hAnsiTheme="minorEastAsia" w:eastAsiaTheme="minorEastAsia" w:cstheme="minorEastAsia"/>
          <w:color w:val="000000" w:themeColor="text1"/>
          <w:sz w:val="24"/>
          <w:lang w:eastAsia="zh-CN"/>
          <w14:textFill>
            <w14:solidFill>
              <w14:schemeClr w14:val="tx1"/>
            </w14:solidFill>
          </w14:textFill>
        </w:rPr>
        <w:t>5</w:t>
      </w:r>
      <w:r>
        <w:rPr>
          <w:rFonts w:hint="eastAsia" w:asciiTheme="minorEastAsia" w:hAnsiTheme="minorEastAsia" w:eastAsiaTheme="minorEastAsia" w:cstheme="minorEastAsia"/>
          <w:color w:val="000000" w:themeColor="text1"/>
          <w:sz w:val="24"/>
          <w:lang w:eastAsia="zh-CN"/>
          <w14:textFill>
            <w14:solidFill>
              <w14:schemeClr w14:val="tx1"/>
            </w14:solidFill>
          </w14:textFill>
        </w:rPr>
        <w:t>分。通过定期问卷调查，评估患者对随访流程便捷性、医护人员沟通态度、健康指导清晰度等方面的满意度。</w:t>
      </w:r>
    </w:p>
    <w:p w14:paraId="12CD34D0">
      <w:pPr>
        <w:pStyle w:val="2"/>
        <w:numPr>
          <w:ilvl w:val="0"/>
          <w:numId w:val="2"/>
        </w:numPr>
        <w:spacing w:after="0" w:line="480" w:lineRule="exact"/>
        <w:ind w:firstLine="480" w:firstLineChars="200"/>
        <w:rPr>
          <w:rFonts w:asciiTheme="minorEastAsia" w:hAnsiTheme="minorEastAsia" w:eastAsiaTheme="minorEastAsia" w:cstheme="minorEastAsia"/>
          <w:bCs w:val="0"/>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4"/>
          <w:lang w:eastAsia="zh-CN"/>
          <w14:textFill>
            <w14:solidFill>
              <w14:schemeClr w14:val="tx1"/>
            </w14:solidFill>
          </w14:textFill>
        </w:rPr>
        <w:t>核心考核指标：</w:t>
      </w:r>
    </w:p>
    <w:p w14:paraId="3C563D9C">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①随访患者不低于3000人次/年，其中肺结节1500人次/年，乳腺结节1500人次/年。</w:t>
      </w:r>
    </w:p>
    <w:p w14:paraId="6EC62A87">
      <w:pPr>
        <w:pStyle w:val="2"/>
        <w:spacing w:after="0" w:line="480" w:lineRule="exact"/>
        <w:ind w:firstLine="480" w:firstLineChars="200"/>
        <w:rPr>
          <w:rFonts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②随访服务中心每年留院病例不低于60人次。</w:t>
      </w:r>
    </w:p>
    <w:p w14:paraId="1AE44E84">
      <w:pPr>
        <w:rPr>
          <w:rFonts w:asciiTheme="minorEastAsia" w:hAnsiTheme="minorEastAsia" w:eastAsiaTheme="minorEastAsia" w:cstheme="minorEastAsia"/>
          <w:color w:val="000000" w:themeColor="text1"/>
          <w14:textFill>
            <w14:solidFill>
              <w14:schemeClr w14:val="tx1"/>
            </w14:solidFill>
          </w14:textFill>
        </w:rPr>
      </w:pPr>
    </w:p>
    <w:p w14:paraId="2C9E9C56">
      <w:pPr>
        <w:rPr>
          <w:rFonts w:asciiTheme="minorEastAsia" w:hAnsiTheme="minorEastAsia" w:eastAsiaTheme="minorEastAsia" w:cstheme="minorEastAsia"/>
          <w:b/>
          <w:bCs w:val="0"/>
          <w:color w:val="000000" w:themeColor="text1"/>
          <w14:textFill>
            <w14:solidFill>
              <w14:schemeClr w14:val="tx1"/>
            </w14:solidFill>
          </w14:textFill>
        </w:rPr>
      </w:pPr>
      <w:bookmarkStart w:id="3" w:name="OLE_LINK2"/>
      <w:bookmarkStart w:id="4" w:name="OLE_LINK3"/>
      <w:r>
        <w:rPr>
          <w:rFonts w:hint="eastAsia" w:asciiTheme="minorEastAsia" w:hAnsiTheme="minorEastAsia" w:eastAsiaTheme="minorEastAsia" w:cstheme="minorEastAsia"/>
          <w:b/>
          <w:bCs w:val="0"/>
          <w:color w:val="000000" w:themeColor="text1"/>
          <w14:textFill>
            <w14:solidFill>
              <w14:schemeClr w14:val="tx1"/>
            </w14:solidFill>
          </w14:textFill>
        </w:rPr>
        <w:t>五、其他要求</w:t>
      </w:r>
    </w:p>
    <w:bookmarkEnd w:id="3"/>
    <w:bookmarkEnd w:id="4"/>
    <w:p w14:paraId="4995353D">
      <w:pPr>
        <w:spacing w:line="360" w:lineRule="auto"/>
        <w:ind w:firstLine="480" w:firstLineChars="200"/>
        <w:rPr>
          <w:rFonts w:asciiTheme="minorEastAsia" w:hAnsiTheme="minorEastAsia" w:eastAsiaTheme="minorEastAsia" w:cstheme="minorEastAsia"/>
          <w:color w:val="000000" w:themeColor="text1"/>
          <w14:textFill>
            <w14:solidFill>
              <w14:schemeClr w14:val="tx1"/>
            </w14:solidFill>
          </w14:textFill>
        </w:rPr>
      </w:pPr>
      <w:r>
        <w:rPr>
          <w:rFonts w:asciiTheme="minorEastAsia" w:hAnsiTheme="minorEastAsia" w:eastAsiaTheme="minorEastAsia" w:cstheme="minorEastAsia"/>
          <w:color w:val="000000" w:themeColor="text1"/>
          <w14:textFill>
            <w14:solidFill>
              <w14:schemeClr w14:val="tx1"/>
            </w14:solidFill>
          </w14:textFill>
        </w:rPr>
        <w:t>本项目采用费用包干方式建设，报价需包含服务及人工、远程平台搭建、财务、税费等费用 (费用自理、远程会诊 及手术费用的部分除外) ，如一旦中标，在项目实施中出现任何遗漏， 均</w:t>
      </w:r>
      <w:bookmarkStart w:id="5" w:name="_GoBack"/>
      <w:bookmarkEnd w:id="5"/>
      <w:r>
        <w:rPr>
          <w:rFonts w:asciiTheme="minorEastAsia" w:hAnsiTheme="minorEastAsia" w:eastAsiaTheme="minorEastAsia" w:cstheme="minorEastAsia"/>
          <w:color w:val="000000" w:themeColor="text1"/>
          <w14:textFill>
            <w14:solidFill>
              <w14:schemeClr w14:val="tx1"/>
            </w14:solidFill>
          </w14:textFill>
        </w:rPr>
        <w:t>由中标供应商免费提供，采购人不再支付任何费用。</w:t>
      </w:r>
      <w:r>
        <w:rPr>
          <w:rFonts w:hint="eastAsia" w:asciiTheme="minorEastAsia" w:hAnsiTheme="minorEastAsia" w:eastAsiaTheme="minorEastAsia" w:cstheme="minorEastAsia"/>
          <w:color w:val="000000" w:themeColor="text1"/>
          <w14:textFill>
            <w14:solidFill>
              <w14:schemeClr w14:val="tx1"/>
            </w14:solidFill>
          </w14:textFill>
        </w:rPr>
        <w:t>费用合同签署后首付50%，其余金额50%根据年底指标完成情况（过程考核指标占10%，核心考核指标占40%）：年底指标完成100%，剩余金额全额支付；年底指标完成75%-100%（含75%），扣除相应剩余金额的25%；年底指标完成在50%-75%（含50%），扣除相应剩余金额的50%；年底指标完成＜50%，扣除相应剩余金额的75%。</w:t>
      </w:r>
    </w:p>
    <w:p w14:paraId="48E1CF2A">
      <w:pPr>
        <w:rPr>
          <w:rFonts w:asciiTheme="minorEastAsia" w:hAnsiTheme="minorEastAsia" w:eastAsiaTheme="minorEastAsia" w:cstheme="minorEastAsia"/>
          <w:b/>
          <w:bCs w:val="0"/>
          <w:color w:val="000000" w:themeColor="text1"/>
          <w14:textFill>
            <w14:solidFill>
              <w14:schemeClr w14:val="tx1"/>
            </w14:solidFill>
          </w14:textFill>
        </w:rPr>
      </w:pPr>
      <w:r>
        <w:rPr>
          <w:rFonts w:hint="eastAsia" w:asciiTheme="minorEastAsia" w:hAnsiTheme="minorEastAsia" w:eastAsiaTheme="minorEastAsia" w:cstheme="minorEastAsia"/>
          <w:b/>
          <w:bCs w:val="0"/>
          <w:color w:val="000000" w:themeColor="text1"/>
          <w14:textFill>
            <w14:solidFill>
              <w14:schemeClr w14:val="tx1"/>
            </w14:solidFill>
          </w14:textFill>
        </w:rPr>
        <w:t>六、补充事项</w:t>
      </w:r>
    </w:p>
    <w:p w14:paraId="6950A967">
      <w:pPr>
        <w:spacing w:after="0" w:line="240" w:lineRule="auto"/>
        <w:ind w:firstLine="480" w:firstLineChars="200"/>
        <w:jc w:val="left"/>
        <w:rPr>
          <w:rFonts w:cs="宋体"/>
          <w:bCs w:val="0"/>
        </w:rPr>
      </w:pPr>
      <w:r>
        <w:rPr>
          <w:rFonts w:cs="宋体"/>
          <w:bCs w:val="0"/>
        </w:rPr>
        <w:t>医疗事故与纠纷赔偿专项条款</w:t>
      </w:r>
      <w:r>
        <w:rPr>
          <w:rFonts w:hint="eastAsia" w:cs="宋体"/>
          <w:bCs w:val="0"/>
        </w:rPr>
        <w:t>等未尽事项，将通过补充协议签署。</w:t>
      </w:r>
    </w:p>
    <w:p w14:paraId="401C6EE5">
      <w:pPr>
        <w:spacing w:line="360" w:lineRule="auto"/>
        <w:ind w:firstLine="480" w:firstLineChars="200"/>
        <w:rPr>
          <w:rFonts w:hint="eastAsia" w:asciiTheme="minorEastAsia" w:hAnsiTheme="minorEastAsia" w:eastAsiaTheme="minorEastAsia" w:cstheme="minorEastAsia"/>
          <w:color w:val="000000" w:themeColor="text1"/>
          <w14:textFill>
            <w14:solidFill>
              <w14:schemeClr w14:val="tx1"/>
            </w14:solidFill>
          </w14:textFill>
        </w:rPr>
      </w:pPr>
    </w:p>
    <w:p w14:paraId="05CE961E">
      <w:pPr>
        <w:rPr>
          <w:rFonts w:asciiTheme="minorEastAsia" w:hAnsiTheme="minorEastAsia" w:eastAsiaTheme="minorEastAsia" w:cstheme="minorEastAsia"/>
          <w:b/>
          <w:bCs w:val="0"/>
          <w:color w:val="000000" w:themeColor="text1"/>
          <w14:textFill>
            <w14:solidFill>
              <w14:schemeClr w14:val="tx1"/>
            </w14:solidFill>
          </w14:textFill>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B9C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902A9">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46902A9">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8E51A9"/>
    <w:multiLevelType w:val="singleLevel"/>
    <w:tmpl w:val="788E51A9"/>
    <w:lvl w:ilvl="0" w:tentative="0">
      <w:start w:val="8"/>
      <w:numFmt w:val="chineseCounting"/>
      <w:suff w:val="nothing"/>
      <w:lvlText w:val="（%1）"/>
      <w:lvlJc w:val="left"/>
      <w:rPr>
        <w:rFonts w:hint="eastAsia"/>
      </w:rPr>
    </w:lvl>
  </w:abstractNum>
  <w:abstractNum w:abstractNumId="1">
    <w:nsid w:val="7FCD53BE"/>
    <w:multiLevelType w:val="singleLevel"/>
    <w:tmpl w:val="7FCD53BE"/>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D1D93"/>
    <w:rsid w:val="0003644B"/>
    <w:rsid w:val="003F601A"/>
    <w:rsid w:val="004E2B58"/>
    <w:rsid w:val="00780889"/>
    <w:rsid w:val="00801D46"/>
    <w:rsid w:val="00A03A76"/>
    <w:rsid w:val="00AF3E5E"/>
    <w:rsid w:val="00D17925"/>
    <w:rsid w:val="00E12A92"/>
    <w:rsid w:val="038A122F"/>
    <w:rsid w:val="056C54C0"/>
    <w:rsid w:val="0A5245C3"/>
    <w:rsid w:val="119F7D30"/>
    <w:rsid w:val="12074C92"/>
    <w:rsid w:val="1480245F"/>
    <w:rsid w:val="15B130DF"/>
    <w:rsid w:val="1F4876B4"/>
    <w:rsid w:val="2D0D1D93"/>
    <w:rsid w:val="36603553"/>
    <w:rsid w:val="418B6016"/>
    <w:rsid w:val="46554BF1"/>
    <w:rsid w:val="50F33D79"/>
    <w:rsid w:val="594715E4"/>
    <w:rsid w:val="5BB26726"/>
    <w:rsid w:val="5E30292A"/>
    <w:rsid w:val="632F323E"/>
    <w:rsid w:val="651B358E"/>
    <w:rsid w:val="667E0188"/>
    <w:rsid w:val="67F82DE7"/>
    <w:rsid w:val="6D65499E"/>
    <w:rsid w:val="71956476"/>
    <w:rsid w:val="78277A43"/>
    <w:rsid w:val="7F052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2" w:lineRule="auto"/>
      <w:jc w:val="both"/>
    </w:pPr>
    <w:rPr>
      <w:rFonts w:ascii="宋体" w:hAnsi="宋体" w:eastAsia="宋体" w:cs="Times New Roman"/>
      <w:bCs/>
      <w:sz w:val="24"/>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line="276" w:lineRule="auto"/>
      <w:jc w:val="left"/>
    </w:pPr>
    <w:rPr>
      <w:rFonts w:ascii="微软雅黑" w:hAnsi="微软雅黑" w:eastAsia="微软雅黑"/>
      <w:sz w:val="22"/>
      <w:lang w:eastAsia="en-US"/>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3801</Words>
  <Characters>3962</Characters>
  <Lines>29</Lines>
  <Paragraphs>8</Paragraphs>
  <TotalTime>22</TotalTime>
  <ScaleCrop>false</ScaleCrop>
  <LinksUpToDate>false</LinksUpToDate>
  <CharactersWithSpaces>4011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2026-05-11T08:25:00Z</dcterms:created>
  <dc:creator>Y</dc:creator>
  <cp:lastModifiedBy>橘子桔子橘</cp:lastModifiedBy>
  <cp:lastPrinted>2026-05-11T07:16:00Z</cp:lastPrinted>
  <dcterms:modified xsi:type="dcterms:W3CDTF">2026-05-29T01:43:00Z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2C9707C3AD7D41D7AD0D962213800C9B_11</vt:lpwstr>
  </property>
  <property fmtid="{D5CDD505-2E9C-101B-9397-08002B2CF9AE}" pid="4" name="KSOTemplateDocerSaveRecord">
    <vt:lpwstr>eyJoZGlkIjoiMzMzOTZkYzcxNDYwZTJjZDg0YTk4ZjBlN2Q3ZGNmZjQiLCJ1c2VySWQiOiIxMDE1NDUyMDMwIn0=</vt:lpwstr>
  </property>
</Properties>
</file>