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A42BD1">
      <w:pPr>
        <w:jc w:val="center"/>
        <w:rPr>
          <w:rFonts w:hint="default" w:eastAsiaTheme="minorEastAsia"/>
          <w:b/>
          <w:bCs/>
          <w:sz w:val="28"/>
          <w:szCs w:val="28"/>
          <w:lang w:val="en-US" w:eastAsia="zh-CN"/>
        </w:rPr>
      </w:pPr>
      <w:r>
        <w:rPr>
          <w:rFonts w:hint="eastAsia"/>
          <w:b/>
          <w:bCs/>
          <w:sz w:val="28"/>
          <w:szCs w:val="28"/>
          <w:lang w:val="en-US" w:eastAsia="zh-CN"/>
        </w:rPr>
        <w:t>合理化诊疗平台参数要求</w:t>
      </w:r>
      <w:bookmarkStart w:id="0" w:name="_GoBack"/>
      <w:bookmarkEnd w:id="0"/>
    </w:p>
    <w:tbl>
      <w:tblPr>
        <w:tblStyle w:val="3"/>
        <w:tblW w:w="833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7"/>
        <w:gridCol w:w="1251"/>
        <w:gridCol w:w="5914"/>
      </w:tblGrid>
      <w:tr w14:paraId="39B51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1167"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02F2135">
            <w:pPr>
              <w:keepNext w:val="0"/>
              <w:keepLines w:val="0"/>
              <w:widowControl/>
              <w:suppressLineNumbers w:val="0"/>
              <w:spacing w:before="0" w:beforeAutospacing="0" w:after="0" w:afterAutospacing="0" w:line="365" w:lineRule="atLeast"/>
              <w:ind w:left="0" w:right="0"/>
              <w:jc w:val="center"/>
              <w:textAlignment w:val="center"/>
              <w:rPr>
                <w:rFonts w:hint="eastAsia" w:ascii="宋体" w:hAnsi="宋体" w:eastAsia="宋体" w:cs="宋体"/>
                <w:b/>
                <w:bCs/>
                <w:color w:val="000000"/>
                <w:sz w:val="24"/>
                <w:szCs w:val="24"/>
                <w:highlight w:val="none"/>
                <w:lang w:val="en-US"/>
              </w:rPr>
            </w:pPr>
            <w:r>
              <w:rPr>
                <w:rFonts w:hint="eastAsia" w:ascii="宋体" w:hAnsi="宋体" w:eastAsia="宋体" w:cs="宋体"/>
                <w:b/>
                <w:bCs/>
                <w:color w:val="000000"/>
                <w:kern w:val="0"/>
                <w:sz w:val="24"/>
                <w:szCs w:val="24"/>
                <w:highlight w:val="none"/>
                <w:lang w:val="en-US" w:eastAsia="zh-CN" w:bidi="ar"/>
              </w:rPr>
              <w:t>模块</w:t>
            </w:r>
          </w:p>
        </w:tc>
        <w:tc>
          <w:tcPr>
            <w:tcW w:w="1251"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361949C">
            <w:pPr>
              <w:keepNext w:val="0"/>
              <w:keepLines w:val="0"/>
              <w:widowControl/>
              <w:suppressLineNumbers w:val="0"/>
              <w:spacing w:before="0" w:beforeAutospacing="0" w:after="0" w:afterAutospacing="0" w:line="365" w:lineRule="atLeast"/>
              <w:ind w:left="0" w:right="0"/>
              <w:jc w:val="center"/>
              <w:textAlignment w:val="center"/>
              <w:rPr>
                <w:rFonts w:hint="eastAsia" w:ascii="宋体" w:hAnsi="宋体" w:eastAsia="宋体" w:cs="宋体"/>
                <w:b/>
                <w:bCs/>
                <w:color w:val="000000"/>
                <w:sz w:val="24"/>
                <w:szCs w:val="24"/>
                <w:highlight w:val="none"/>
                <w:lang w:val="en-US"/>
              </w:rPr>
            </w:pPr>
            <w:r>
              <w:rPr>
                <w:rFonts w:hint="eastAsia" w:ascii="宋体" w:hAnsi="宋体" w:eastAsia="宋体" w:cs="宋体"/>
                <w:b/>
                <w:bCs/>
                <w:color w:val="000000"/>
                <w:kern w:val="0"/>
                <w:sz w:val="24"/>
                <w:szCs w:val="24"/>
                <w:highlight w:val="none"/>
                <w:lang w:val="en-US" w:eastAsia="zh-CN" w:bidi="ar"/>
              </w:rPr>
              <w:t>功能点</w:t>
            </w:r>
          </w:p>
        </w:tc>
        <w:tc>
          <w:tcPr>
            <w:tcW w:w="5914"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29CAA86">
            <w:pPr>
              <w:keepNext w:val="0"/>
              <w:keepLines w:val="0"/>
              <w:widowControl/>
              <w:suppressLineNumbers w:val="0"/>
              <w:spacing w:before="0" w:beforeAutospacing="0" w:after="0" w:afterAutospacing="0" w:line="365" w:lineRule="atLeast"/>
              <w:ind w:left="0" w:right="0"/>
              <w:jc w:val="center"/>
              <w:textAlignment w:val="center"/>
              <w:rPr>
                <w:rFonts w:hint="eastAsia" w:ascii="宋体" w:hAnsi="宋体" w:eastAsia="宋体" w:cs="宋体"/>
                <w:b/>
                <w:bCs/>
                <w:color w:val="000000"/>
                <w:sz w:val="24"/>
                <w:szCs w:val="24"/>
                <w:highlight w:val="none"/>
                <w:lang w:val="en-US"/>
              </w:rPr>
            </w:pPr>
            <w:r>
              <w:rPr>
                <w:rFonts w:hint="eastAsia" w:ascii="宋体" w:hAnsi="宋体" w:eastAsia="宋体" w:cs="宋体"/>
                <w:b/>
                <w:bCs/>
                <w:color w:val="000000"/>
                <w:kern w:val="0"/>
                <w:sz w:val="24"/>
                <w:szCs w:val="24"/>
                <w:highlight w:val="none"/>
                <w:lang w:val="en-US" w:eastAsia="zh-CN" w:bidi="ar"/>
              </w:rPr>
              <w:t>功能描述</w:t>
            </w:r>
          </w:p>
        </w:tc>
      </w:tr>
      <w:tr w14:paraId="25398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5" w:hRule="atLeast"/>
        </w:trPr>
        <w:tc>
          <w:tcPr>
            <w:tcW w:w="1167" w:type="dxa"/>
            <w:tcBorders>
              <w:top w:val="single" w:color="000000" w:sz="4" w:space="0"/>
              <w:left w:val="single" w:color="000000" w:sz="4" w:space="0"/>
              <w:bottom w:val="single" w:color="000000" w:sz="4" w:space="0"/>
              <w:right w:val="single" w:color="000000" w:sz="4" w:space="0"/>
            </w:tcBorders>
            <w:noWrap w:val="0"/>
            <w:vAlign w:val="center"/>
          </w:tcPr>
          <w:p w14:paraId="42921877">
            <w:pPr>
              <w:keepNext w:val="0"/>
              <w:keepLines w:val="0"/>
              <w:widowControl/>
              <w:suppressLineNumbers w:val="0"/>
              <w:spacing w:before="0" w:beforeAutospacing="0" w:after="0" w:afterAutospacing="0" w:line="365" w:lineRule="atLeast"/>
              <w:ind w:left="0" w:right="0"/>
              <w:jc w:val="center"/>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首页</w:t>
            </w:r>
          </w:p>
        </w:tc>
        <w:tc>
          <w:tcPr>
            <w:tcW w:w="1251" w:type="dxa"/>
            <w:tcBorders>
              <w:top w:val="single" w:color="000000" w:sz="4" w:space="0"/>
              <w:left w:val="single" w:color="000000" w:sz="4" w:space="0"/>
              <w:bottom w:val="single" w:color="000000" w:sz="4" w:space="0"/>
              <w:right w:val="single" w:color="000000" w:sz="4" w:space="0"/>
            </w:tcBorders>
            <w:noWrap w:val="0"/>
            <w:vAlign w:val="center"/>
          </w:tcPr>
          <w:p w14:paraId="0A3E5D0E">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系统首页</w:t>
            </w:r>
          </w:p>
        </w:tc>
        <w:tc>
          <w:tcPr>
            <w:tcW w:w="5914" w:type="dxa"/>
            <w:tcBorders>
              <w:top w:val="single" w:color="000000" w:sz="4" w:space="0"/>
              <w:left w:val="single" w:color="000000" w:sz="4" w:space="0"/>
              <w:bottom w:val="single" w:color="000000" w:sz="4" w:space="0"/>
              <w:right w:val="single" w:color="000000" w:sz="4" w:space="0"/>
            </w:tcBorders>
            <w:noWrap w:val="0"/>
            <w:vAlign w:val="center"/>
          </w:tcPr>
          <w:p w14:paraId="104B7F19">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为管理人员提供合理诊疗智慧监管指标数据的汇总页面，可一图查看所有相关统计，包括但不限于以下内容：</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1.自定义时间范围（如起止日期、自然月/季/年等），按时间段对预警数据进行查询和过滤。</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2.指标数量、预警数量、异常数量、结果数量等重点指标项。</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3.时间范围内的预警数量趋势和结果数量趋势。</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4.预警数量高频科室排名、医生排名。</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5.异常数据高频科室排名、医生排名。</w:t>
            </w:r>
          </w:p>
        </w:tc>
      </w:tr>
      <w:tr w14:paraId="2AD61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6" w:hRule="atLeast"/>
        </w:trPr>
        <w:tc>
          <w:tcPr>
            <w:tcW w:w="1167" w:type="dxa"/>
            <w:vMerge w:val="restart"/>
            <w:tcBorders>
              <w:top w:val="single" w:color="000000" w:sz="4" w:space="0"/>
              <w:left w:val="single" w:color="000000" w:sz="4" w:space="0"/>
              <w:bottom w:val="single" w:color="000000" w:sz="4" w:space="0"/>
              <w:right w:val="single" w:color="000000" w:sz="4" w:space="0"/>
            </w:tcBorders>
            <w:noWrap/>
            <w:vAlign w:val="center"/>
          </w:tcPr>
          <w:p w14:paraId="4ADDE6C0">
            <w:pPr>
              <w:keepNext w:val="0"/>
              <w:keepLines w:val="0"/>
              <w:widowControl/>
              <w:suppressLineNumbers w:val="0"/>
              <w:spacing w:before="0" w:beforeAutospacing="0" w:after="0" w:afterAutospacing="0" w:line="365" w:lineRule="atLeast"/>
              <w:ind w:left="0" w:right="0"/>
              <w:jc w:val="center"/>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监管指标管理</w:t>
            </w:r>
          </w:p>
        </w:tc>
        <w:tc>
          <w:tcPr>
            <w:tcW w:w="1251" w:type="dxa"/>
            <w:tcBorders>
              <w:top w:val="single" w:color="000000" w:sz="4" w:space="0"/>
              <w:left w:val="single" w:color="000000" w:sz="4" w:space="0"/>
              <w:bottom w:val="single" w:color="000000" w:sz="4" w:space="0"/>
              <w:right w:val="single" w:color="000000" w:sz="4" w:space="0"/>
            </w:tcBorders>
            <w:noWrap/>
            <w:vAlign w:val="center"/>
          </w:tcPr>
          <w:p w14:paraId="70553DDC">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指标规则管理</w:t>
            </w:r>
          </w:p>
        </w:tc>
        <w:tc>
          <w:tcPr>
            <w:tcW w:w="5914" w:type="dxa"/>
            <w:tcBorders>
              <w:top w:val="single" w:color="000000" w:sz="4" w:space="0"/>
              <w:left w:val="single" w:color="000000" w:sz="4" w:space="0"/>
              <w:bottom w:val="single" w:color="000000" w:sz="4" w:space="0"/>
              <w:right w:val="single" w:color="000000" w:sz="4" w:space="0"/>
            </w:tcBorders>
            <w:noWrap w:val="0"/>
            <w:vAlign w:val="center"/>
          </w:tcPr>
          <w:p w14:paraId="39E65636">
            <w:pPr>
              <w:keepNext w:val="0"/>
              <w:keepLines w:val="0"/>
              <w:widowControl/>
              <w:suppressLineNumbers w:val="0"/>
              <w:spacing w:before="0" w:beforeAutospacing="0" w:after="0" w:afterAutospacing="0" w:line="365" w:lineRule="atLeast"/>
              <w:ind w:left="0" w:right="0"/>
              <w:jc w:val="left"/>
              <w:textAlignment w:val="center"/>
              <w:rPr>
                <w:rFonts w:hint="default"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1.内含首批文件58项指标中支持通过程序判断的指标（不合理药品使用和超范围执业部分除外）。</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2.</w:t>
            </w:r>
            <w:r>
              <w:rPr>
                <w:rFonts w:hint="eastAsia" w:ascii="宋体" w:hAnsi="宋体" w:eastAsia="宋体" w:cs="宋体"/>
                <w:bCs/>
                <w:kern w:val="44"/>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提供可视化页面，支持对规则进行调整、增加、修改、删除。</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3.支持多种方式查看和筛选指标规则。</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4.支持批量开启和关闭。</w:t>
            </w:r>
          </w:p>
        </w:tc>
      </w:tr>
      <w:tr w14:paraId="5BC01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trPr>
        <w:tc>
          <w:tcPr>
            <w:tcW w:w="1167" w:type="dxa"/>
            <w:vMerge w:val="continue"/>
            <w:tcBorders>
              <w:top w:val="single" w:color="000000" w:sz="4" w:space="0"/>
              <w:left w:val="single" w:color="000000" w:sz="4" w:space="0"/>
              <w:bottom w:val="single" w:color="000000" w:sz="4" w:space="0"/>
              <w:right w:val="single" w:color="000000" w:sz="4" w:space="0"/>
            </w:tcBorders>
            <w:noWrap/>
            <w:vAlign w:val="center"/>
          </w:tcPr>
          <w:p w14:paraId="563C1D9A">
            <w:pPr>
              <w:keepNext w:val="0"/>
              <w:keepLines w:val="0"/>
              <w:suppressLineNumbers w:val="0"/>
              <w:spacing w:before="0" w:beforeAutospacing="0" w:after="0" w:afterAutospacing="0"/>
              <w:ind w:left="0" w:right="0"/>
              <w:rPr>
                <w:rFonts w:hint="default" w:ascii="Times New Roman" w:hAnsi="Times New Roman" w:cs="Times New Roman"/>
                <w:sz w:val="24"/>
                <w:szCs w:val="24"/>
                <w:highlight w:val="none"/>
              </w:rPr>
            </w:pPr>
          </w:p>
        </w:tc>
        <w:tc>
          <w:tcPr>
            <w:tcW w:w="1251" w:type="dxa"/>
            <w:tcBorders>
              <w:top w:val="single" w:color="000000" w:sz="4" w:space="0"/>
              <w:left w:val="single" w:color="000000" w:sz="4" w:space="0"/>
              <w:bottom w:val="single" w:color="000000" w:sz="4" w:space="0"/>
              <w:right w:val="single" w:color="000000" w:sz="4" w:space="0"/>
            </w:tcBorders>
            <w:noWrap/>
            <w:vAlign w:val="center"/>
          </w:tcPr>
          <w:p w14:paraId="3DA6CC45">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白名单管理</w:t>
            </w:r>
          </w:p>
        </w:tc>
        <w:tc>
          <w:tcPr>
            <w:tcW w:w="5914" w:type="dxa"/>
            <w:tcBorders>
              <w:top w:val="single" w:color="000000" w:sz="4" w:space="0"/>
              <w:left w:val="single" w:color="000000" w:sz="4" w:space="0"/>
              <w:bottom w:val="single" w:color="000000" w:sz="4" w:space="0"/>
              <w:right w:val="single" w:color="000000" w:sz="4" w:space="0"/>
            </w:tcBorders>
            <w:noWrap/>
            <w:vAlign w:val="center"/>
          </w:tcPr>
          <w:p w14:paraId="2DFC6399">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支持对科室、医生配置白名单，系统对白名单不进行预警拦截。</w:t>
            </w:r>
          </w:p>
        </w:tc>
      </w:tr>
      <w:tr w14:paraId="4B869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4" w:hRule="atLeast"/>
        </w:trPr>
        <w:tc>
          <w:tcPr>
            <w:tcW w:w="1167" w:type="dxa"/>
            <w:vMerge w:val="continue"/>
            <w:tcBorders>
              <w:top w:val="single" w:color="000000" w:sz="4" w:space="0"/>
              <w:left w:val="single" w:color="000000" w:sz="4" w:space="0"/>
              <w:bottom w:val="single" w:color="000000" w:sz="4" w:space="0"/>
              <w:right w:val="single" w:color="000000" w:sz="4" w:space="0"/>
            </w:tcBorders>
            <w:noWrap/>
            <w:vAlign w:val="center"/>
          </w:tcPr>
          <w:p w14:paraId="562B4360">
            <w:pPr>
              <w:keepNext w:val="0"/>
              <w:keepLines w:val="0"/>
              <w:suppressLineNumbers w:val="0"/>
              <w:spacing w:before="0" w:beforeAutospacing="0" w:after="0" w:afterAutospacing="0"/>
              <w:ind w:left="0" w:right="0"/>
              <w:rPr>
                <w:rFonts w:hint="default" w:ascii="Times New Roman" w:hAnsi="Times New Roman" w:cs="Times New Roman"/>
                <w:sz w:val="24"/>
                <w:szCs w:val="24"/>
                <w:highlight w:val="none"/>
              </w:rPr>
            </w:pPr>
          </w:p>
        </w:tc>
        <w:tc>
          <w:tcPr>
            <w:tcW w:w="1251" w:type="dxa"/>
            <w:tcBorders>
              <w:top w:val="single" w:color="000000" w:sz="4" w:space="0"/>
              <w:left w:val="single" w:color="000000" w:sz="4" w:space="0"/>
              <w:bottom w:val="single" w:color="000000" w:sz="4" w:space="0"/>
              <w:right w:val="single" w:color="000000" w:sz="4" w:space="0"/>
            </w:tcBorders>
            <w:noWrap/>
            <w:vAlign w:val="center"/>
          </w:tcPr>
          <w:p w14:paraId="0C707927">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规则操作日志</w:t>
            </w:r>
          </w:p>
        </w:tc>
        <w:tc>
          <w:tcPr>
            <w:tcW w:w="5914" w:type="dxa"/>
            <w:tcBorders>
              <w:top w:val="single" w:color="000000" w:sz="4" w:space="0"/>
              <w:left w:val="single" w:color="000000" w:sz="4" w:space="0"/>
              <w:bottom w:val="single" w:color="000000" w:sz="4" w:space="0"/>
              <w:right w:val="single" w:color="000000" w:sz="4" w:space="0"/>
            </w:tcBorders>
            <w:noWrap w:val="0"/>
            <w:vAlign w:val="center"/>
          </w:tcPr>
          <w:p w14:paraId="0106D86E">
            <w:pPr>
              <w:keepNext w:val="0"/>
              <w:keepLines w:val="0"/>
              <w:widowControl/>
              <w:numPr>
                <w:ilvl w:val="0"/>
                <w:numId w:val="1"/>
              </w:numPr>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bCs/>
                <w:kern w:val="44"/>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系统自动记录指标规则和白名单中变更的所有日志。</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2.支持根据规则名称、项目名称、变更内容、变更理由等查询规则管理记录。</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3.支持查询规则明细的调整、新增、关闭等记录。</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4.支持导出日志。</w:t>
            </w:r>
          </w:p>
        </w:tc>
      </w:tr>
      <w:tr w14:paraId="67AA0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9" w:hRule="atLeast"/>
        </w:trPr>
        <w:tc>
          <w:tcPr>
            <w:tcW w:w="1167" w:type="dxa"/>
            <w:tcBorders>
              <w:top w:val="single" w:color="000000" w:sz="4" w:space="0"/>
              <w:left w:val="single" w:color="000000" w:sz="4" w:space="0"/>
              <w:bottom w:val="single" w:color="000000" w:sz="4" w:space="0"/>
              <w:right w:val="single" w:color="000000" w:sz="4" w:space="0"/>
            </w:tcBorders>
            <w:noWrap/>
            <w:vAlign w:val="center"/>
          </w:tcPr>
          <w:p w14:paraId="4324E59D">
            <w:pPr>
              <w:keepNext w:val="0"/>
              <w:keepLines w:val="0"/>
              <w:widowControl/>
              <w:suppressLineNumbers w:val="0"/>
              <w:spacing w:before="0" w:beforeAutospacing="0" w:after="0" w:afterAutospacing="0" w:line="365" w:lineRule="atLeast"/>
              <w:ind w:left="0" w:right="0"/>
              <w:jc w:val="center"/>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指标拦截预警</w:t>
            </w:r>
          </w:p>
        </w:tc>
        <w:tc>
          <w:tcPr>
            <w:tcW w:w="1251" w:type="dxa"/>
            <w:tcBorders>
              <w:top w:val="single" w:color="000000" w:sz="4" w:space="0"/>
              <w:left w:val="single" w:color="000000" w:sz="4" w:space="0"/>
              <w:bottom w:val="single" w:color="000000" w:sz="4" w:space="0"/>
              <w:right w:val="single" w:color="000000" w:sz="4" w:space="0"/>
            </w:tcBorders>
            <w:noWrap/>
            <w:vAlign w:val="center"/>
          </w:tcPr>
          <w:p w14:paraId="114B63F9">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实时预警提醒</w:t>
            </w:r>
          </w:p>
        </w:tc>
        <w:tc>
          <w:tcPr>
            <w:tcW w:w="5914" w:type="dxa"/>
            <w:tcBorders>
              <w:top w:val="single" w:color="000000" w:sz="4" w:space="0"/>
              <w:left w:val="single" w:color="000000" w:sz="4" w:space="0"/>
              <w:bottom w:val="single" w:color="000000" w:sz="4" w:space="0"/>
              <w:right w:val="single" w:color="000000" w:sz="4" w:space="0"/>
            </w:tcBorders>
            <w:noWrap w:val="0"/>
            <w:vAlign w:val="center"/>
          </w:tcPr>
          <w:p w14:paraId="2B4F19F2">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1.提供标准化的接口对接方案，支持通过API接口或数据视图的方式对接院内相关系统。</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2.在医师开具门诊处方、住院医嘱保存、住院医嘱执行、住院医技收费等业务场景中，基于指标规则库进行审核，对于发现不合理诊疗行为实时预警拦截。</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3.当触发预警时，在HIS医生工作站以弹窗形式实时提醒医务人员，明确展示预警项目、违反的规则条款。弹窗中支持选择继续执行和返回修改，继续执行时可填写情况说明。</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4.系统完整记录预警事件中的原始调取内容、系统提示的预警详情、以及医务人员最终处理动作。</w:t>
            </w:r>
          </w:p>
        </w:tc>
      </w:tr>
      <w:tr w14:paraId="16A87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5" w:hRule="atLeast"/>
        </w:trPr>
        <w:tc>
          <w:tcPr>
            <w:tcW w:w="1167" w:type="dxa"/>
            <w:tcBorders>
              <w:top w:val="single" w:color="000000" w:sz="4" w:space="0"/>
              <w:left w:val="single" w:color="000000" w:sz="4" w:space="0"/>
              <w:bottom w:val="single" w:color="000000" w:sz="4" w:space="0"/>
              <w:right w:val="single" w:color="000000" w:sz="4" w:space="0"/>
            </w:tcBorders>
            <w:noWrap/>
            <w:vAlign w:val="center"/>
          </w:tcPr>
          <w:p w14:paraId="7051C283">
            <w:pPr>
              <w:keepNext w:val="0"/>
              <w:keepLines w:val="0"/>
              <w:widowControl/>
              <w:suppressLineNumbers w:val="0"/>
              <w:spacing w:before="0" w:beforeAutospacing="0" w:after="0" w:afterAutospacing="0" w:line="365" w:lineRule="atLeast"/>
              <w:ind w:left="0" w:right="0"/>
              <w:jc w:val="center"/>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指标预警记录</w:t>
            </w:r>
          </w:p>
        </w:tc>
        <w:tc>
          <w:tcPr>
            <w:tcW w:w="1251" w:type="dxa"/>
            <w:tcBorders>
              <w:top w:val="single" w:color="000000" w:sz="4" w:space="0"/>
              <w:left w:val="single" w:color="000000" w:sz="4" w:space="0"/>
              <w:bottom w:val="single" w:color="000000" w:sz="4" w:space="0"/>
              <w:right w:val="single" w:color="000000" w:sz="4" w:space="0"/>
            </w:tcBorders>
            <w:noWrap/>
            <w:vAlign w:val="center"/>
          </w:tcPr>
          <w:p w14:paraId="0663C3D8">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全量预警记录</w:t>
            </w:r>
          </w:p>
        </w:tc>
        <w:tc>
          <w:tcPr>
            <w:tcW w:w="5914" w:type="dxa"/>
            <w:tcBorders>
              <w:top w:val="single" w:color="000000" w:sz="4" w:space="0"/>
              <w:left w:val="single" w:color="000000" w:sz="4" w:space="0"/>
              <w:bottom w:val="single" w:color="000000" w:sz="4" w:space="0"/>
              <w:right w:val="single" w:color="000000" w:sz="4" w:space="0"/>
            </w:tcBorders>
            <w:noWrap w:val="0"/>
            <w:vAlign w:val="center"/>
          </w:tcPr>
          <w:p w14:paraId="4C9DCE57">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1.支持查询事前场景中触发的所有预警记录。</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2.支持按时间范围、项目名称、预警描述、科室、医生等条件组合筛选预警数据。</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3.支持查看触发提醒的调取时间、患者信息、预警信息、当时的请求信息和返回信息等信息，方便二次审核。</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4.支持查看临床人员对预警提醒的操作响应记录及填写的处理备注说明。</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5.支持下载导出。</w:t>
            </w:r>
          </w:p>
        </w:tc>
      </w:tr>
      <w:tr w14:paraId="2BC32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167" w:type="dxa"/>
            <w:vMerge w:val="restart"/>
            <w:tcBorders>
              <w:top w:val="single" w:color="000000" w:sz="4" w:space="0"/>
              <w:left w:val="single" w:color="000000" w:sz="4" w:space="0"/>
              <w:bottom w:val="single" w:color="000000" w:sz="4" w:space="0"/>
              <w:right w:val="single" w:color="000000" w:sz="4" w:space="0"/>
            </w:tcBorders>
            <w:noWrap/>
            <w:vAlign w:val="center"/>
          </w:tcPr>
          <w:p w14:paraId="4ADE99B6">
            <w:pPr>
              <w:keepNext w:val="0"/>
              <w:keepLines w:val="0"/>
              <w:widowControl/>
              <w:suppressLineNumbers w:val="0"/>
              <w:spacing w:before="0" w:beforeAutospacing="0" w:after="0" w:afterAutospacing="0" w:line="365" w:lineRule="atLeast"/>
              <w:ind w:left="0" w:right="0"/>
              <w:jc w:val="center"/>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监管数据管理</w:t>
            </w:r>
          </w:p>
        </w:tc>
        <w:tc>
          <w:tcPr>
            <w:tcW w:w="1251" w:type="dxa"/>
            <w:tcBorders>
              <w:top w:val="single" w:color="000000" w:sz="4" w:space="0"/>
              <w:left w:val="single" w:color="000000" w:sz="4" w:space="0"/>
              <w:bottom w:val="single" w:color="000000" w:sz="4" w:space="0"/>
              <w:right w:val="single" w:color="000000" w:sz="4" w:space="0"/>
            </w:tcBorders>
            <w:noWrap/>
            <w:vAlign w:val="center"/>
          </w:tcPr>
          <w:p w14:paraId="57A451D9">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基础配置</w:t>
            </w:r>
          </w:p>
        </w:tc>
        <w:tc>
          <w:tcPr>
            <w:tcW w:w="5914" w:type="dxa"/>
            <w:tcBorders>
              <w:top w:val="single" w:color="000000" w:sz="4" w:space="0"/>
              <w:left w:val="single" w:color="000000" w:sz="4" w:space="0"/>
              <w:bottom w:val="single" w:color="000000" w:sz="4" w:space="0"/>
              <w:right w:val="single" w:color="000000" w:sz="4" w:space="0"/>
            </w:tcBorders>
            <w:noWrap w:val="0"/>
            <w:vAlign w:val="center"/>
          </w:tcPr>
          <w:p w14:paraId="148F18B3">
            <w:pPr>
              <w:keepNext w:val="0"/>
              <w:keepLines w:val="0"/>
              <w:widowControl/>
              <w:numPr>
                <w:ilvl w:val="0"/>
                <w:numId w:val="2"/>
              </w:numPr>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bCs/>
                <w:kern w:val="44"/>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支持根据指标规则选择配置上传数据范围。</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2.支持配置是否需要审核后再写入结果数据表。</w:t>
            </w:r>
          </w:p>
        </w:tc>
      </w:tr>
      <w:tr w14:paraId="5A7F2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7" w:hRule="atLeast"/>
        </w:trPr>
        <w:tc>
          <w:tcPr>
            <w:tcW w:w="1167" w:type="dxa"/>
            <w:vMerge w:val="continue"/>
            <w:tcBorders>
              <w:top w:val="single" w:color="000000" w:sz="4" w:space="0"/>
              <w:left w:val="single" w:color="000000" w:sz="4" w:space="0"/>
              <w:bottom w:val="single" w:color="000000" w:sz="4" w:space="0"/>
              <w:right w:val="single" w:color="000000" w:sz="4" w:space="0"/>
            </w:tcBorders>
            <w:noWrap/>
            <w:vAlign w:val="center"/>
          </w:tcPr>
          <w:p w14:paraId="3512D3A6">
            <w:pPr>
              <w:keepNext w:val="0"/>
              <w:keepLines w:val="0"/>
              <w:suppressLineNumbers w:val="0"/>
              <w:spacing w:before="0" w:beforeAutospacing="0" w:after="0" w:afterAutospacing="0"/>
              <w:ind w:left="0" w:right="0"/>
              <w:rPr>
                <w:rFonts w:hint="default" w:ascii="Times New Roman" w:hAnsi="Times New Roman" w:cs="Times New Roman"/>
                <w:sz w:val="24"/>
                <w:szCs w:val="24"/>
                <w:highlight w:val="none"/>
              </w:rPr>
            </w:pPr>
          </w:p>
        </w:tc>
        <w:tc>
          <w:tcPr>
            <w:tcW w:w="1251" w:type="dxa"/>
            <w:tcBorders>
              <w:top w:val="single" w:color="000000" w:sz="4" w:space="0"/>
              <w:left w:val="single" w:color="000000" w:sz="4" w:space="0"/>
              <w:bottom w:val="single" w:color="000000" w:sz="4" w:space="0"/>
              <w:right w:val="single" w:color="000000" w:sz="4" w:space="0"/>
            </w:tcBorders>
            <w:noWrap/>
            <w:vAlign w:val="center"/>
          </w:tcPr>
          <w:p w14:paraId="676AF025">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异常信息审核</w:t>
            </w:r>
          </w:p>
        </w:tc>
        <w:tc>
          <w:tcPr>
            <w:tcW w:w="5914" w:type="dxa"/>
            <w:tcBorders>
              <w:top w:val="single" w:color="000000" w:sz="4" w:space="0"/>
              <w:left w:val="single" w:color="000000" w:sz="4" w:space="0"/>
              <w:bottom w:val="single" w:color="000000" w:sz="4" w:space="0"/>
              <w:right w:val="single" w:color="000000" w:sz="4" w:space="0"/>
            </w:tcBorders>
            <w:noWrap w:val="0"/>
            <w:vAlign w:val="center"/>
          </w:tcPr>
          <w:p w14:paraId="44201EBE">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1.</w:t>
            </w:r>
            <w:r>
              <w:rPr>
                <w:rFonts w:hint="eastAsia" w:ascii="宋体" w:hAnsi="宋体" w:eastAsia="宋体" w:cs="宋体"/>
                <w:bCs/>
                <w:kern w:val="44"/>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系统支持自动对事前预警记录中如无操作结果、数字英文类错误备注说明等异常数据进行过滤展示。</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2.支持对异常数据进行信息补充和审核。</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3.支持选择写入或不写入预警数据结果集。</w:t>
            </w:r>
          </w:p>
        </w:tc>
      </w:tr>
      <w:tr w14:paraId="6EC4F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7" w:hRule="atLeast"/>
        </w:trPr>
        <w:tc>
          <w:tcPr>
            <w:tcW w:w="1167" w:type="dxa"/>
            <w:vMerge w:val="continue"/>
            <w:tcBorders>
              <w:top w:val="single" w:color="000000" w:sz="4" w:space="0"/>
              <w:left w:val="single" w:color="000000" w:sz="4" w:space="0"/>
              <w:bottom w:val="single" w:color="000000" w:sz="4" w:space="0"/>
              <w:right w:val="single" w:color="000000" w:sz="4" w:space="0"/>
            </w:tcBorders>
            <w:noWrap/>
            <w:vAlign w:val="center"/>
          </w:tcPr>
          <w:p w14:paraId="06073D0D">
            <w:pPr>
              <w:keepNext w:val="0"/>
              <w:keepLines w:val="0"/>
              <w:suppressLineNumbers w:val="0"/>
              <w:spacing w:before="0" w:beforeAutospacing="0" w:after="0" w:afterAutospacing="0"/>
              <w:ind w:left="0" w:right="0"/>
              <w:rPr>
                <w:rFonts w:hint="default" w:ascii="Times New Roman" w:hAnsi="Times New Roman" w:cs="Times New Roman"/>
                <w:sz w:val="24"/>
                <w:szCs w:val="24"/>
                <w:highlight w:val="none"/>
              </w:rPr>
            </w:pPr>
          </w:p>
        </w:tc>
        <w:tc>
          <w:tcPr>
            <w:tcW w:w="1251" w:type="dxa"/>
            <w:tcBorders>
              <w:top w:val="single" w:color="000000" w:sz="4" w:space="0"/>
              <w:left w:val="single" w:color="000000" w:sz="4" w:space="0"/>
              <w:bottom w:val="single" w:color="000000" w:sz="4" w:space="0"/>
              <w:right w:val="single" w:color="000000" w:sz="4" w:space="0"/>
            </w:tcBorders>
            <w:noWrap/>
            <w:vAlign w:val="center"/>
          </w:tcPr>
          <w:p w14:paraId="5585E1A3">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数据写入审核</w:t>
            </w:r>
          </w:p>
        </w:tc>
        <w:tc>
          <w:tcPr>
            <w:tcW w:w="5914" w:type="dxa"/>
            <w:tcBorders>
              <w:top w:val="single" w:color="000000" w:sz="4" w:space="0"/>
              <w:left w:val="single" w:color="000000" w:sz="4" w:space="0"/>
              <w:bottom w:val="single" w:color="000000" w:sz="4" w:space="0"/>
              <w:right w:val="single" w:color="000000" w:sz="4" w:space="0"/>
            </w:tcBorders>
            <w:noWrap w:val="0"/>
            <w:vAlign w:val="center"/>
          </w:tcPr>
          <w:p w14:paraId="286C2631">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1.当配置需要审核后再写入时，系统展示所有待审核数据，并提供手动审核功能。</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2.管理人员可对数据进行相关信息调整和补充后再审核写入，避免上传一些错误数据和脏数据影响后续卫健委对数据的使用。</w:t>
            </w:r>
          </w:p>
        </w:tc>
      </w:tr>
      <w:tr w14:paraId="02187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1167" w:type="dxa"/>
            <w:tcBorders>
              <w:top w:val="single" w:color="000000" w:sz="4" w:space="0"/>
              <w:left w:val="single" w:color="000000" w:sz="4" w:space="0"/>
              <w:bottom w:val="single" w:color="000000" w:sz="4" w:space="0"/>
              <w:right w:val="single" w:color="000000" w:sz="4" w:space="0"/>
            </w:tcBorders>
            <w:noWrap/>
            <w:vAlign w:val="center"/>
          </w:tcPr>
          <w:p w14:paraId="5FB1C5B4">
            <w:pPr>
              <w:keepNext w:val="0"/>
              <w:keepLines w:val="0"/>
              <w:widowControl/>
              <w:suppressLineNumbers w:val="0"/>
              <w:spacing w:before="0" w:beforeAutospacing="0" w:after="0" w:afterAutospacing="0" w:line="365" w:lineRule="atLeast"/>
              <w:ind w:left="0" w:right="0"/>
              <w:jc w:val="center"/>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监管数据统计</w:t>
            </w:r>
          </w:p>
        </w:tc>
        <w:tc>
          <w:tcPr>
            <w:tcW w:w="1251" w:type="dxa"/>
            <w:tcBorders>
              <w:top w:val="single" w:color="000000" w:sz="4" w:space="0"/>
              <w:left w:val="single" w:color="000000" w:sz="4" w:space="0"/>
              <w:bottom w:val="single" w:color="000000" w:sz="4" w:space="0"/>
              <w:right w:val="single" w:color="000000" w:sz="4" w:space="0"/>
            </w:tcBorders>
            <w:noWrap/>
            <w:vAlign w:val="center"/>
          </w:tcPr>
          <w:p w14:paraId="4EAEE2A0">
            <w:pPr>
              <w:keepNext w:val="0"/>
              <w:keepLines w:val="0"/>
              <w:widowControl/>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预警结果集查询</w:t>
            </w:r>
          </w:p>
        </w:tc>
        <w:tc>
          <w:tcPr>
            <w:tcW w:w="5914" w:type="dxa"/>
            <w:tcBorders>
              <w:top w:val="single" w:color="000000" w:sz="4" w:space="0"/>
              <w:left w:val="single" w:color="000000" w:sz="4" w:space="0"/>
              <w:bottom w:val="single" w:color="000000" w:sz="4" w:space="0"/>
              <w:right w:val="single" w:color="000000" w:sz="4" w:space="0"/>
            </w:tcBorders>
            <w:noWrap w:val="0"/>
            <w:vAlign w:val="center"/>
          </w:tcPr>
          <w:p w14:paraId="5FA4E064">
            <w:pPr>
              <w:keepNext w:val="0"/>
              <w:keepLines w:val="0"/>
              <w:widowControl/>
              <w:numPr>
                <w:ilvl w:val="0"/>
                <w:numId w:val="3"/>
              </w:numPr>
              <w:suppressLineNumbers w:val="0"/>
              <w:spacing w:before="0" w:beforeAutospacing="0" w:after="0" w:afterAutospacing="0" w:line="365" w:lineRule="atLeast"/>
              <w:ind w:left="0" w:right="0"/>
              <w:jc w:val="left"/>
              <w:textAlignment w:val="center"/>
              <w:rPr>
                <w:rFonts w:hint="eastAsia" w:ascii="宋体" w:hAnsi="宋体" w:eastAsia="宋体" w:cs="宋体"/>
                <w:color w:val="000000"/>
                <w:sz w:val="24"/>
                <w:szCs w:val="24"/>
                <w:highlight w:val="none"/>
                <w:lang w:val="en-US"/>
              </w:rPr>
            </w:pPr>
            <w:r>
              <w:rPr>
                <w:rFonts w:hint="eastAsia" w:ascii="宋体" w:hAnsi="宋体" w:eastAsia="宋体" w:cs="宋体"/>
                <w:color w:val="000000"/>
                <w:kern w:val="0"/>
                <w:sz w:val="24"/>
                <w:szCs w:val="24"/>
                <w:highlight w:val="none"/>
                <w:lang w:val="en-US" w:eastAsia="zh-CN" w:bidi="ar"/>
              </w:rPr>
              <w:t>支持按文件要求标准格式提供结果数据集，配合院内采集上传使用。</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2.</w:t>
            </w:r>
            <w:r>
              <w:rPr>
                <w:rFonts w:hint="eastAsia" w:ascii="宋体" w:hAnsi="宋体" w:eastAsia="宋体" w:cs="宋体"/>
                <w:bCs/>
                <w:kern w:val="44"/>
                <w:sz w:val="24"/>
                <w:szCs w:val="24"/>
                <w:highlight w:val="none"/>
                <w:lang w:val="en-US" w:eastAsia="zh-CN" w:bidi="ar"/>
              </w:rPr>
              <w:t>▲</w:t>
            </w:r>
            <w:r>
              <w:rPr>
                <w:rFonts w:hint="eastAsia" w:ascii="宋体" w:hAnsi="宋体" w:eastAsia="宋体" w:cs="宋体"/>
                <w:color w:val="000000"/>
                <w:kern w:val="0"/>
                <w:sz w:val="24"/>
                <w:szCs w:val="24"/>
                <w:highlight w:val="none"/>
                <w:lang w:val="en-US" w:eastAsia="zh-CN" w:bidi="ar"/>
              </w:rPr>
              <w:t>支持查看当前结果数据集中所有已写入数据。</w:t>
            </w:r>
            <w:r>
              <w:rPr>
                <w:rFonts w:hint="eastAsia" w:ascii="宋体" w:hAnsi="宋体" w:eastAsia="宋体" w:cs="宋体"/>
                <w:color w:val="000000"/>
                <w:kern w:val="0"/>
                <w:sz w:val="24"/>
                <w:szCs w:val="24"/>
                <w:highlight w:val="none"/>
                <w:lang w:val="en-US" w:eastAsia="zh-CN" w:bidi="ar"/>
              </w:rPr>
              <w:br w:type="textWrapping"/>
            </w:r>
            <w:r>
              <w:rPr>
                <w:rFonts w:hint="eastAsia" w:ascii="宋体" w:hAnsi="宋体" w:eastAsia="宋体" w:cs="宋体"/>
                <w:color w:val="000000"/>
                <w:kern w:val="0"/>
                <w:sz w:val="24"/>
                <w:szCs w:val="24"/>
                <w:highlight w:val="none"/>
                <w:lang w:val="en-US" w:eastAsia="zh-CN" w:bidi="ar"/>
              </w:rPr>
              <w:t>3.支持各类条件的查询。</w:t>
            </w:r>
          </w:p>
        </w:tc>
      </w:tr>
    </w:tbl>
    <w:p w14:paraId="27F62C06"/>
    <w:p w14:paraId="3DAD02F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D6D1EF"/>
    <w:multiLevelType w:val="singleLevel"/>
    <w:tmpl w:val="A5D6D1EF"/>
    <w:lvl w:ilvl="0" w:tentative="0">
      <w:start w:val="1"/>
      <w:numFmt w:val="decimal"/>
      <w:lvlText w:val="%1."/>
      <w:lvlJc w:val="left"/>
      <w:pPr>
        <w:tabs>
          <w:tab w:val="left" w:pos="312"/>
        </w:tabs>
      </w:pPr>
    </w:lvl>
  </w:abstractNum>
  <w:abstractNum w:abstractNumId="1">
    <w:nsid w:val="E5203DA5"/>
    <w:multiLevelType w:val="singleLevel"/>
    <w:tmpl w:val="E5203DA5"/>
    <w:lvl w:ilvl="0" w:tentative="0">
      <w:start w:val="1"/>
      <w:numFmt w:val="decimal"/>
      <w:lvlText w:val="%1."/>
      <w:lvlJc w:val="left"/>
      <w:pPr>
        <w:tabs>
          <w:tab w:val="left" w:pos="312"/>
        </w:tabs>
      </w:pPr>
    </w:lvl>
  </w:abstractNum>
  <w:abstractNum w:abstractNumId="2">
    <w:nsid w:val="395C04AA"/>
    <w:multiLevelType w:val="singleLevel"/>
    <w:tmpl w:val="395C04AA"/>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766F14"/>
    <w:rsid w:val="01D2477A"/>
    <w:rsid w:val="0DD10C09"/>
    <w:rsid w:val="12E76338"/>
    <w:rsid w:val="12EF539D"/>
    <w:rsid w:val="43C94982"/>
    <w:rsid w:val="540F2A02"/>
    <w:rsid w:val="6B567948"/>
    <w:rsid w:val="71F72BED"/>
    <w:rsid w:val="75766F14"/>
    <w:rsid w:val="7DB610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First Indent"/>
    <w:basedOn w:val="1"/>
    <w:qFormat/>
    <w:uiPriority w:val="0"/>
    <w:pPr>
      <w:spacing w:line="360" w:lineRule="auto"/>
      <w:ind w:firstLine="200" w:firstLineChars="200"/>
    </w:pPr>
    <w:rPr>
      <w:rFonts w:ascii="仿宋_GB2312" w:eastAsia="仿宋_GB2312"/>
      <w:sz w:val="30"/>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1147</Words>
  <Characters>1181</Characters>
  <Lines>0</Lines>
  <Paragraphs>0</Paragraphs>
  <TotalTime>22</TotalTime>
  <ScaleCrop>false</ScaleCrop>
  <LinksUpToDate>false</LinksUpToDate>
  <CharactersWithSpaces>1181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2026-02-27T07:33:00Z</dcterms:created>
  <dc:creator>PEi</dc:creator>
  <cp:lastModifiedBy>橘子桔子橘</cp:lastModifiedBy>
  <dcterms:modified xsi:type="dcterms:W3CDTF">2026-06-18T03:15:35Z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92ECF4EAA4BB42EC891352BE9DF69A49_13</vt:lpwstr>
  </property>
  <property fmtid="{D5CDD505-2E9C-101B-9397-08002B2CF9AE}" pid="4" name="KSOTemplateDocerSaveRecord">
    <vt:lpwstr>eyJoZGlkIjoiMzMzOTZkYzcxNDYwZTJjZDg0YTk4ZjBlN2Q3ZGNmZjQiLCJ1c2VySWQiOiIxMDE1NDUyMDMwIn0=</vt:lpwstr>
  </property>
</Properties>
</file>