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8F952">
      <w:pPr>
        <w:adjustRightInd w:val="0"/>
        <w:snapToGrid w:val="0"/>
        <w:spacing w:line="440" w:lineRule="exact"/>
        <w:ind w:firstLine="482" w:firstLineChars="200"/>
        <w:jc w:val="center"/>
        <w:rPr>
          <w:rFonts w:hint="default" w:ascii="宋体" w:hAnsi="宋体"/>
          <w:b/>
          <w:sz w:val="24"/>
          <w:szCs w:val="24"/>
          <w:lang w:val="en-US" w:eastAsia="zh-CN"/>
        </w:rPr>
      </w:pPr>
      <w:r>
        <w:rPr>
          <w:rFonts w:hint="eastAsia" w:ascii="宋体" w:hAnsi="宋体"/>
          <w:b/>
          <w:sz w:val="24"/>
          <w:szCs w:val="24"/>
          <w:lang w:val="en-US" w:eastAsia="zh-CN"/>
        </w:rPr>
        <w:t>“医疗责任保险服务”院内论证公示</w:t>
      </w:r>
    </w:p>
    <w:p w14:paraId="2CA2CBD3">
      <w:pPr>
        <w:spacing w:line="400" w:lineRule="exact"/>
        <w:rPr>
          <w:rFonts w:hint="default" w:ascii="宋体" w:hAnsi="宋体" w:cs="宋体"/>
          <w:b/>
          <w:bCs/>
          <w:szCs w:val="21"/>
          <w:lang w:val="en-US"/>
        </w:rPr>
      </w:pPr>
      <w:r>
        <w:rPr>
          <w:rFonts w:hint="eastAsia" w:ascii="宋体" w:hAnsi="宋体" w:cs="宋体"/>
          <w:b/>
          <w:bCs/>
          <w:szCs w:val="21"/>
        </w:rPr>
        <w:t>一、采购内容：</w:t>
      </w:r>
      <w:r>
        <w:rPr>
          <w:rFonts w:hint="eastAsia"/>
        </w:rPr>
        <w:t>南京大学医学院附属苏州医院</w:t>
      </w:r>
      <w:r>
        <w:rPr>
          <w:rFonts w:hint="eastAsia" w:ascii="宋体" w:hAnsi="宋体" w:cs="宋体"/>
          <w:szCs w:val="21"/>
          <w:lang w:val="en-US" w:eastAsia="zh-CN"/>
        </w:rPr>
        <w:t>医疗责任保险</w:t>
      </w:r>
    </w:p>
    <w:p w14:paraId="35E8CBE6">
      <w:pPr>
        <w:pStyle w:val="15"/>
        <w:spacing w:line="400" w:lineRule="exact"/>
        <w:ind w:left="0" w:leftChars="0" w:firstLine="0" w:firstLineChars="0"/>
        <w:rPr>
          <w:rFonts w:hint="eastAsia" w:ascii="宋体" w:hAnsi="宋体" w:cs="宋体"/>
          <w:sz w:val="21"/>
          <w:szCs w:val="21"/>
        </w:rPr>
      </w:pPr>
      <w:r>
        <w:rPr>
          <w:rFonts w:hint="eastAsia" w:ascii="宋体" w:hAnsi="宋体" w:cs="宋体"/>
          <w:b/>
          <w:bCs/>
          <w:sz w:val="21"/>
          <w:szCs w:val="21"/>
        </w:rPr>
        <w:t>二、采购预算：</w:t>
      </w:r>
      <w:r>
        <w:rPr>
          <w:rFonts w:hint="eastAsia" w:ascii="宋体" w:hAnsi="宋体" w:cs="宋体"/>
          <w:sz w:val="21"/>
          <w:szCs w:val="21"/>
          <w:lang w:val="en-US" w:eastAsia="zh-CN"/>
        </w:rPr>
        <w:t>98</w:t>
      </w:r>
      <w:r>
        <w:rPr>
          <w:rFonts w:hint="eastAsia" w:ascii="宋体" w:hAnsi="宋体" w:cs="宋体"/>
          <w:sz w:val="21"/>
          <w:szCs w:val="21"/>
        </w:rPr>
        <w:t>万元</w:t>
      </w:r>
    </w:p>
    <w:p w14:paraId="2B8E5723">
      <w:pPr>
        <w:pStyle w:val="15"/>
        <w:spacing w:line="400" w:lineRule="exact"/>
        <w:ind w:left="0" w:leftChars="0" w:firstLine="0" w:firstLineChars="0"/>
        <w:rPr>
          <w:rFonts w:hint="default" w:ascii="宋体" w:hAnsi="宋体" w:eastAsia="宋体" w:cs="宋体"/>
          <w:sz w:val="21"/>
          <w:szCs w:val="21"/>
          <w:lang w:val="en-US" w:eastAsia="zh-CN"/>
        </w:rPr>
      </w:pPr>
      <w:r>
        <w:rPr>
          <w:rFonts w:hint="eastAsia" w:ascii="宋体" w:hAnsi="宋体" w:cs="宋体"/>
          <w:b/>
          <w:bCs/>
          <w:sz w:val="21"/>
          <w:szCs w:val="21"/>
          <w:lang w:val="en-US" w:eastAsia="zh-CN"/>
        </w:rPr>
        <w:t>三、服务期限：</w:t>
      </w:r>
      <w:r>
        <w:rPr>
          <w:rFonts w:hint="eastAsia" w:ascii="宋体" w:hAnsi="宋体" w:cs="宋体"/>
          <w:sz w:val="21"/>
          <w:szCs w:val="21"/>
          <w:lang w:val="en-US" w:eastAsia="zh-CN"/>
        </w:rPr>
        <w:t>1年</w:t>
      </w:r>
    </w:p>
    <w:p w14:paraId="13C708B2">
      <w:pPr>
        <w:spacing w:line="400" w:lineRule="exact"/>
        <w:rPr>
          <w:rFonts w:hint="eastAsia"/>
          <w:b/>
          <w:bCs/>
        </w:rPr>
      </w:pPr>
      <w:r>
        <w:rPr>
          <w:rFonts w:hint="eastAsia"/>
          <w:b/>
          <w:bCs/>
          <w:lang w:val="en-US" w:eastAsia="zh-CN"/>
        </w:rPr>
        <w:t>四</w:t>
      </w:r>
      <w:r>
        <w:rPr>
          <w:rFonts w:hint="eastAsia"/>
          <w:b/>
          <w:bCs/>
        </w:rPr>
        <w:t>、投标人报名资格要求：</w:t>
      </w:r>
    </w:p>
    <w:p w14:paraId="1BB18185">
      <w:pPr>
        <w:spacing w:line="400" w:lineRule="exact"/>
        <w:ind w:firstLine="420" w:firstLineChars="200"/>
        <w:rPr>
          <w:rFonts w:hint="eastAsia"/>
        </w:rPr>
      </w:pPr>
      <w:r>
        <w:rPr>
          <w:rFonts w:hint="eastAsia"/>
        </w:rPr>
        <w:t>A、合格论证响应单位</w:t>
      </w:r>
      <w:r>
        <w:rPr>
          <w:rFonts w:hint="eastAsia"/>
          <w:lang w:val="en-US" w:eastAsia="zh-CN"/>
        </w:rPr>
        <w:t>一般</w:t>
      </w:r>
      <w:r>
        <w:rPr>
          <w:rFonts w:hint="eastAsia"/>
        </w:rPr>
        <w:t>条件：</w:t>
      </w:r>
    </w:p>
    <w:p w14:paraId="11C8DB23">
      <w:pPr>
        <w:spacing w:line="400" w:lineRule="exact"/>
        <w:ind w:firstLine="420" w:firstLineChars="200"/>
        <w:rPr>
          <w:rFonts w:hint="eastAsia"/>
        </w:rPr>
      </w:pPr>
      <w:r>
        <w:rPr>
          <w:rFonts w:hint="eastAsia"/>
        </w:rPr>
        <w:t>（1）满足《中华人民共和国政府采购法》第二十二条规定，即：</w:t>
      </w:r>
    </w:p>
    <w:p w14:paraId="3F003184">
      <w:pPr>
        <w:spacing w:line="400" w:lineRule="exact"/>
        <w:ind w:firstLine="420" w:firstLineChars="200"/>
        <w:rPr>
          <w:rFonts w:hint="eastAsia"/>
        </w:rPr>
      </w:pPr>
      <w:r>
        <w:rPr>
          <w:rFonts w:hint="eastAsia"/>
        </w:rPr>
        <w:t>（1）具有独立承担民事责任的能力；</w:t>
      </w:r>
    </w:p>
    <w:p w14:paraId="114EB438">
      <w:pPr>
        <w:spacing w:line="400" w:lineRule="exact"/>
        <w:ind w:firstLine="420" w:firstLineChars="200"/>
        <w:rPr>
          <w:rFonts w:hint="eastAsia"/>
        </w:rPr>
      </w:pPr>
      <w:r>
        <w:rPr>
          <w:rFonts w:hint="eastAsia"/>
        </w:rPr>
        <w:t>（2）具有良好的商业信誉和健全的财务会计制度；</w:t>
      </w:r>
    </w:p>
    <w:p w14:paraId="7886A25D">
      <w:pPr>
        <w:spacing w:line="400" w:lineRule="exact"/>
        <w:ind w:firstLine="420" w:firstLineChars="200"/>
        <w:rPr>
          <w:rFonts w:hint="eastAsia"/>
        </w:rPr>
      </w:pPr>
      <w:r>
        <w:rPr>
          <w:rFonts w:hint="eastAsia"/>
        </w:rPr>
        <w:t>（3）具有履行合同所必需的设备和专业技术能力；</w:t>
      </w:r>
    </w:p>
    <w:p w14:paraId="1B22E2AA">
      <w:pPr>
        <w:spacing w:line="400" w:lineRule="exact"/>
        <w:ind w:firstLine="420" w:firstLineChars="200"/>
        <w:rPr>
          <w:rFonts w:hint="eastAsia"/>
        </w:rPr>
      </w:pPr>
      <w:r>
        <w:rPr>
          <w:rFonts w:hint="eastAsia"/>
        </w:rPr>
        <w:t>（4）有依法缴纳税收和社会保障资金的良好记录；</w:t>
      </w:r>
    </w:p>
    <w:p w14:paraId="3CAB26E6">
      <w:pPr>
        <w:spacing w:line="400" w:lineRule="exact"/>
        <w:ind w:firstLine="420" w:firstLineChars="200"/>
        <w:rPr>
          <w:rFonts w:hint="eastAsia"/>
        </w:rPr>
      </w:pPr>
      <w:r>
        <w:rPr>
          <w:rFonts w:hint="eastAsia"/>
        </w:rPr>
        <w:t>（5）参加政府采购活动前三年内，在经营活动中没有重大违法记录；</w:t>
      </w:r>
    </w:p>
    <w:p w14:paraId="7694A741">
      <w:pPr>
        <w:spacing w:line="400" w:lineRule="exact"/>
        <w:ind w:firstLine="420" w:firstLineChars="200"/>
        <w:rPr>
          <w:rFonts w:hint="eastAsia"/>
        </w:rPr>
      </w:pPr>
      <w:r>
        <w:rPr>
          <w:rFonts w:hint="eastAsia"/>
        </w:rPr>
        <w:t>（6）法律、行政法规规定的其他条件。</w:t>
      </w:r>
    </w:p>
    <w:p w14:paraId="77BF7178">
      <w:pPr>
        <w:spacing w:line="400" w:lineRule="exact"/>
        <w:ind w:firstLine="420" w:firstLineChars="200"/>
        <w:rPr>
          <w:rFonts w:hint="eastAsia"/>
        </w:rPr>
      </w:pPr>
      <w:r>
        <w:rPr>
          <w:rFonts w:hint="eastAsia"/>
          <w:lang w:eastAsia="zh-CN"/>
        </w:rPr>
        <w:t>（</w:t>
      </w:r>
      <w:r>
        <w:rPr>
          <w:rFonts w:hint="eastAsia"/>
          <w:lang w:val="en-US" w:eastAsia="zh-CN"/>
        </w:rPr>
        <w:t>7</w:t>
      </w:r>
      <w:r>
        <w:rPr>
          <w:rFonts w:hint="eastAsia"/>
          <w:lang w:eastAsia="zh-CN"/>
        </w:rPr>
        <w:t>）</w:t>
      </w:r>
      <w:r>
        <w:rPr>
          <w:rFonts w:hint="eastAsia"/>
        </w:rPr>
        <w:t>本次论证会不接受联合联合论证。</w:t>
      </w:r>
    </w:p>
    <w:p w14:paraId="47D3F841">
      <w:pPr>
        <w:spacing w:line="400" w:lineRule="exact"/>
        <w:ind w:firstLine="420" w:firstLineChars="200"/>
        <w:rPr>
          <w:rFonts w:hint="eastAsia"/>
          <w:lang w:eastAsia="zh-CN"/>
        </w:rPr>
      </w:pPr>
      <w:r>
        <w:rPr>
          <w:rFonts w:hint="eastAsia"/>
          <w:lang w:val="en-US" w:eastAsia="zh-CN"/>
        </w:rPr>
        <w:t>B</w:t>
      </w:r>
      <w:r>
        <w:rPr>
          <w:rFonts w:hint="eastAsia"/>
        </w:rPr>
        <w:t>、合格论证响应单位特定条件</w:t>
      </w:r>
      <w:r>
        <w:rPr>
          <w:rFonts w:hint="eastAsia"/>
          <w:lang w:eastAsia="zh-CN"/>
        </w:rPr>
        <w:t>：</w:t>
      </w:r>
    </w:p>
    <w:p w14:paraId="51013C2A">
      <w:pPr>
        <w:spacing w:line="400" w:lineRule="exact"/>
        <w:ind w:firstLine="420" w:firstLineChars="200"/>
        <w:rPr>
          <w:rFonts w:hint="eastAsia"/>
        </w:rPr>
      </w:pPr>
      <w:r>
        <w:rPr>
          <w:rFonts w:hint="eastAsia"/>
        </w:rPr>
        <w:t>(1)供应商应具有国家金融监督管理总局（或原中国银行保险监督管理委员会）颁发的</w:t>
      </w:r>
      <w:r>
        <w:rPr>
          <w:rFonts w:hint="eastAsia"/>
          <w:lang w:val="en-US" w:eastAsia="zh-CN"/>
        </w:rPr>
        <w:t>经营</w:t>
      </w:r>
      <w:r>
        <w:rPr>
          <w:rFonts w:hint="eastAsia"/>
        </w:rPr>
        <w:t>保险</w:t>
      </w:r>
      <w:r>
        <w:rPr>
          <w:rFonts w:hint="eastAsia"/>
          <w:lang w:val="en-US" w:eastAsia="zh-CN"/>
        </w:rPr>
        <w:t>业务</w:t>
      </w:r>
      <w:r>
        <w:rPr>
          <w:rFonts w:hint="eastAsia"/>
        </w:rPr>
        <w:t>许可证。</w:t>
      </w:r>
    </w:p>
    <w:p w14:paraId="37087652">
      <w:pPr>
        <w:spacing w:line="400" w:lineRule="exact"/>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（2）未被“信用中国”网站（www.creditchina.gov.cn）列入失信被执行人、重大税收违法案件当事人名单、政府采购严重失信行为记录名单。</w:t>
      </w:r>
    </w:p>
    <w:p w14:paraId="5A760FB8">
      <w:pPr>
        <w:spacing w:line="400" w:lineRule="exact"/>
        <w:ind w:firstLine="420" w:firstLineChars="200"/>
        <w:rPr>
          <w:rFonts w:hint="eastAsia"/>
          <w:sz w:val="21"/>
          <w:szCs w:val="21"/>
        </w:rPr>
      </w:pPr>
      <w:r>
        <w:rPr>
          <w:rFonts w:hint="eastAsia" w:ascii="Times New Roman" w:hAnsi="Times New Roman" w:eastAsia="宋体" w:cs="Times New Roman"/>
          <w:color w:val="auto"/>
          <w:sz w:val="21"/>
          <w:szCs w:val="21"/>
          <w:highlight w:val="none"/>
          <w:lang w:val="en-US" w:eastAsia="zh-CN"/>
        </w:rPr>
        <w:t>（3）保险行业的分支机构可参与本次投标，但同一家总公司只能有一家分支机构参与投标，且总公司不能与下属分支机构同时参与投标。</w:t>
      </w:r>
    </w:p>
    <w:p w14:paraId="5DA9261E">
      <w:pPr>
        <w:spacing w:line="400" w:lineRule="exact"/>
        <w:rPr>
          <w:rFonts w:hint="eastAsia"/>
          <w:b/>
          <w:bCs/>
          <w:sz w:val="21"/>
          <w:szCs w:val="21"/>
          <w:lang w:val="en-US" w:eastAsia="zh-CN"/>
        </w:rPr>
      </w:pPr>
      <w:r>
        <w:rPr>
          <w:rFonts w:hint="eastAsia"/>
          <w:b/>
          <w:bCs/>
          <w:sz w:val="21"/>
          <w:szCs w:val="21"/>
          <w:lang w:val="en-US" w:eastAsia="zh-CN"/>
        </w:rPr>
        <w:t>五、报名时需提供以下材料：（须加盖公司红章）</w:t>
      </w:r>
    </w:p>
    <w:p w14:paraId="0120762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（1）投标人《营业执照》复印件</w:t>
      </w:r>
      <w:r>
        <w:rPr>
          <w:rFonts w:hint="eastAsia" w:ascii="宋体" w:hAnsi="宋体" w:cs="宋体"/>
          <w:i w:val="0"/>
          <w:iCs w:val="0"/>
          <w:caps w:val="0"/>
          <w:color w:val="auto"/>
          <w:spacing w:val="0"/>
          <w:sz w:val="21"/>
          <w:szCs w:val="21"/>
          <w:shd w:val="clear" w:fill="FFFFFF"/>
          <w:lang w:eastAsia="zh-CN"/>
        </w:rPr>
        <w:t>，</w:t>
      </w:r>
      <w:r>
        <w:rPr>
          <w:rFonts w:hint="eastAsia"/>
          <w:color w:val="auto"/>
          <w:sz w:val="21"/>
          <w:szCs w:val="21"/>
          <w:lang w:val="en-US" w:eastAsia="zh-CN"/>
        </w:rPr>
        <w:t>经营</w:t>
      </w:r>
      <w:r>
        <w:rPr>
          <w:rFonts w:hint="eastAsia"/>
          <w:color w:val="auto"/>
          <w:sz w:val="21"/>
          <w:szCs w:val="21"/>
        </w:rPr>
        <w:t>保险</w:t>
      </w:r>
      <w:r>
        <w:rPr>
          <w:rFonts w:hint="eastAsia"/>
          <w:color w:val="auto"/>
          <w:sz w:val="21"/>
          <w:szCs w:val="21"/>
          <w:lang w:val="en-US" w:eastAsia="zh-CN"/>
        </w:rPr>
        <w:t>业务</w:t>
      </w:r>
      <w:r>
        <w:rPr>
          <w:rFonts w:hint="eastAsia"/>
          <w:color w:val="auto"/>
          <w:sz w:val="21"/>
          <w:szCs w:val="21"/>
        </w:rPr>
        <w:t>许可证</w:t>
      </w:r>
      <w:r>
        <w:rPr>
          <w:rFonts w:hint="eastAsia"/>
          <w:color w:val="auto"/>
          <w:sz w:val="21"/>
          <w:szCs w:val="21"/>
          <w:lang w:val="en-US" w:eastAsia="zh-CN"/>
        </w:rPr>
        <w:t>复印件</w:t>
      </w:r>
      <w:r>
        <w:rPr>
          <w:rFonts w:hint="eastAsia" w:ascii="宋体" w:hAnsi="宋体" w:eastAsia="宋体" w:cs="宋体"/>
          <w:i w:val="0"/>
          <w:iCs w:val="0"/>
          <w:caps w:val="0"/>
          <w:color w:val="auto"/>
          <w:spacing w:val="0"/>
          <w:sz w:val="21"/>
          <w:szCs w:val="21"/>
          <w:shd w:val="clear" w:fill="FFFFFF"/>
        </w:rPr>
        <w:t>；</w:t>
      </w:r>
    </w:p>
    <w:p w14:paraId="5F39CD0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（2）法人或分支机构负责人授权委托书（提供法定代表人或分支机构负责人和被授权人身份证复印件）</w:t>
      </w:r>
    </w:p>
    <w:p w14:paraId="2D66BB63">
      <w:pPr>
        <w:spacing w:line="400" w:lineRule="exact"/>
        <w:rPr>
          <w:rFonts w:hint="eastAsia"/>
          <w:b w:val="0"/>
          <w:bCs w:val="0"/>
          <w:sz w:val="21"/>
          <w:szCs w:val="21"/>
          <w:lang w:val="en-US" w:eastAsia="zh-CN"/>
        </w:rPr>
      </w:pPr>
      <w:r>
        <w:rPr>
          <w:rFonts w:hint="eastAsia"/>
          <w:b/>
          <w:bCs/>
          <w:sz w:val="21"/>
          <w:szCs w:val="21"/>
          <w:lang w:val="en-US" w:eastAsia="zh-CN"/>
        </w:rPr>
        <w:t>六、报名截止时间、联系人及联系方式：：</w:t>
      </w:r>
      <w:r>
        <w:rPr>
          <w:rFonts w:hint="eastAsia"/>
          <w:b w:val="0"/>
          <w:bCs w:val="0"/>
          <w:sz w:val="21"/>
          <w:szCs w:val="21"/>
          <w:lang w:val="en-US" w:eastAsia="zh-CN"/>
        </w:rPr>
        <w:t>2026年5月27日17:00（北京时间）</w:t>
      </w:r>
    </w:p>
    <w:p w14:paraId="40342484">
      <w:pPr>
        <w:pStyle w:val="16"/>
        <w:shd w:val="clear" w:color="auto" w:fill="FFFFFF"/>
        <w:spacing w:before="0" w:beforeAutospacing="0" w:after="0" w:afterAutospacing="0" w:line="360" w:lineRule="atLeast"/>
        <w:ind w:firstLine="420" w:firstLineChars="200"/>
        <w:rPr>
          <w:rFonts w:hint="default" w:eastAsia="宋体"/>
          <w:color w:val="auto"/>
          <w:sz w:val="21"/>
          <w:szCs w:val="21"/>
          <w:lang w:val="en-US" w:eastAsia="zh-CN"/>
        </w:rPr>
      </w:pPr>
      <w:r>
        <w:rPr>
          <w:rFonts w:hint="eastAsia"/>
          <w:color w:val="auto"/>
          <w:sz w:val="21"/>
          <w:szCs w:val="21"/>
        </w:rPr>
        <w:t>联系人：</w:t>
      </w:r>
      <w:r>
        <w:rPr>
          <w:rFonts w:hint="eastAsia"/>
          <w:color w:val="auto"/>
          <w:sz w:val="21"/>
          <w:szCs w:val="21"/>
          <w:lang w:val="en-US" w:eastAsia="zh-CN"/>
        </w:rPr>
        <w:t xml:space="preserve">吴老师              </w:t>
      </w:r>
      <w:r>
        <w:rPr>
          <w:rFonts w:hint="eastAsia"/>
          <w:color w:val="auto"/>
          <w:sz w:val="21"/>
          <w:szCs w:val="21"/>
        </w:rPr>
        <w:t>联系电话：0512-6958</w:t>
      </w:r>
      <w:r>
        <w:rPr>
          <w:rFonts w:hint="eastAsia"/>
          <w:color w:val="auto"/>
          <w:sz w:val="21"/>
          <w:szCs w:val="21"/>
          <w:lang w:val="en-US" w:eastAsia="zh-CN"/>
        </w:rPr>
        <w:t>4854</w:t>
      </w:r>
    </w:p>
    <w:p w14:paraId="0E231E2C">
      <w:pPr>
        <w:pStyle w:val="16"/>
        <w:shd w:val="clear" w:color="auto" w:fill="FFFFFF"/>
        <w:spacing w:before="0" w:beforeAutospacing="0" w:after="0" w:afterAutospacing="0" w:line="360" w:lineRule="atLeast"/>
        <w:ind w:firstLine="420" w:firstLineChars="200"/>
        <w:rPr>
          <w:rFonts w:hint="default" w:eastAsia="宋体"/>
          <w:color w:val="auto"/>
          <w:sz w:val="21"/>
          <w:szCs w:val="21"/>
          <w:lang w:val="en-US" w:eastAsia="zh-CN"/>
        </w:rPr>
      </w:pPr>
      <w:r>
        <w:rPr>
          <w:rFonts w:hint="eastAsia"/>
          <w:color w:val="auto"/>
          <w:sz w:val="21"/>
          <w:szCs w:val="21"/>
        </w:rPr>
        <w:t>地址：苏州高新区漓江路1号</w:t>
      </w:r>
      <w:r>
        <w:rPr>
          <w:rFonts w:hint="eastAsia"/>
          <w:color w:val="auto"/>
          <w:sz w:val="21"/>
          <w:szCs w:val="21"/>
          <w:lang w:val="en-US" w:eastAsia="zh-CN"/>
        </w:rPr>
        <w:t>负一楼招标采供中心1</w:t>
      </w:r>
    </w:p>
    <w:p w14:paraId="0F8DF1B8">
      <w:pPr>
        <w:pStyle w:val="16"/>
        <w:numPr>
          <w:ilvl w:val="0"/>
          <w:numId w:val="0"/>
        </w:numPr>
        <w:shd w:val="clear" w:color="auto" w:fill="FFFFFF"/>
        <w:spacing w:before="0" w:beforeAutospacing="0" w:after="0" w:afterAutospacing="0" w:line="360" w:lineRule="atLeast"/>
        <w:ind w:firstLine="420" w:firstLineChars="200"/>
        <w:rPr>
          <w:rFonts w:hint="eastAsia"/>
          <w:color w:val="auto"/>
          <w:sz w:val="21"/>
          <w:szCs w:val="21"/>
        </w:rPr>
      </w:pPr>
      <w:r>
        <w:rPr>
          <w:rFonts w:hint="eastAsia"/>
          <w:color w:val="auto"/>
          <w:sz w:val="21"/>
          <w:szCs w:val="21"/>
          <w:lang w:val="en-US" w:eastAsia="zh-CN"/>
        </w:rPr>
        <w:t>院内论证</w:t>
      </w:r>
      <w:r>
        <w:rPr>
          <w:rFonts w:hint="eastAsia"/>
          <w:color w:val="auto"/>
          <w:sz w:val="21"/>
          <w:szCs w:val="21"/>
        </w:rPr>
        <w:t>时间、地点：另行通知</w:t>
      </w:r>
    </w:p>
    <w:p w14:paraId="639E850C">
      <w:pPr>
        <w:spacing w:line="400" w:lineRule="exact"/>
        <w:rPr>
          <w:rFonts w:hint="eastAsia"/>
          <w:color w:val="auto"/>
          <w:sz w:val="21"/>
          <w:szCs w:val="21"/>
        </w:rPr>
      </w:pPr>
      <w:r>
        <w:rPr>
          <w:rFonts w:hint="eastAsia"/>
          <w:b/>
          <w:bCs/>
          <w:color w:val="auto"/>
          <w:sz w:val="21"/>
          <w:szCs w:val="21"/>
          <w:lang w:val="en-US" w:eastAsia="zh-CN"/>
        </w:rPr>
        <w:t>七</w:t>
      </w:r>
      <w:r>
        <w:rPr>
          <w:rFonts w:hint="eastAsia"/>
          <w:b/>
          <w:bCs/>
          <w:color w:val="auto"/>
          <w:sz w:val="21"/>
          <w:szCs w:val="21"/>
        </w:rPr>
        <w:t>、采购需求</w:t>
      </w:r>
    </w:p>
    <w:p w14:paraId="1B2206C4">
      <w:pPr>
        <w:spacing w:line="400" w:lineRule="exact"/>
        <w:ind w:firstLine="420" w:firstLineChars="200"/>
        <w:rPr>
          <w:rFonts w:hint="eastAsia"/>
          <w:color w:val="auto"/>
          <w:sz w:val="21"/>
          <w:szCs w:val="21"/>
        </w:rPr>
      </w:pPr>
      <w:r>
        <w:rPr>
          <w:rFonts w:hint="eastAsia"/>
          <w:color w:val="auto"/>
          <w:sz w:val="21"/>
          <w:szCs w:val="21"/>
          <w:lang w:val="en-US" w:eastAsia="zh-CN"/>
        </w:rPr>
        <w:t>1</w:t>
      </w:r>
      <w:r>
        <w:rPr>
          <w:rFonts w:hint="eastAsia"/>
          <w:color w:val="auto"/>
          <w:sz w:val="21"/>
          <w:szCs w:val="21"/>
        </w:rPr>
        <w:t>、人员配备:</w:t>
      </w:r>
    </w:p>
    <w:p w14:paraId="624247E1">
      <w:pPr>
        <w:spacing w:line="400" w:lineRule="exact"/>
        <w:ind w:firstLine="420" w:firstLineChars="200"/>
        <w:rPr>
          <w:rFonts w:hint="eastAsia"/>
          <w:color w:val="auto"/>
          <w:sz w:val="21"/>
          <w:szCs w:val="21"/>
        </w:rPr>
      </w:pPr>
      <w:r>
        <w:rPr>
          <w:rFonts w:hint="eastAsia"/>
          <w:color w:val="auto"/>
          <w:sz w:val="21"/>
          <w:szCs w:val="21"/>
          <w:lang w:val="en-US" w:eastAsia="zh-CN"/>
        </w:rPr>
        <w:t>1</w:t>
      </w:r>
      <w:r>
        <w:rPr>
          <w:rFonts w:hint="eastAsia"/>
          <w:color w:val="auto"/>
          <w:sz w:val="21"/>
          <w:szCs w:val="21"/>
        </w:rPr>
        <w:t>.1对本采购项目须设立专项服务小组，</w:t>
      </w:r>
      <w:r>
        <w:rPr>
          <w:rFonts w:hint="eastAsia" w:ascii="宋体" w:hAnsi="宋体"/>
        </w:rPr>
        <w:t>保险公</w:t>
      </w:r>
      <w:r>
        <w:rPr>
          <w:rFonts w:hint="eastAsia" w:ascii="宋体" w:hAnsi="宋体"/>
          <w:color w:val="auto"/>
          <w:highlight w:val="none"/>
        </w:rPr>
        <w:t>司</w:t>
      </w:r>
      <w:r>
        <w:rPr>
          <w:rFonts w:hint="eastAsia" w:ascii="宋体" w:hAnsi="宋体"/>
          <w:color w:val="auto"/>
          <w:highlight w:val="none"/>
          <w:lang w:val="en-US" w:eastAsia="zh-CN"/>
        </w:rPr>
        <w:t>至少</w:t>
      </w:r>
      <w:r>
        <w:rPr>
          <w:rFonts w:hint="eastAsia" w:ascii="宋体" w:hAnsi="宋体"/>
          <w:color w:val="auto"/>
          <w:highlight w:val="none"/>
        </w:rPr>
        <w:t>配备项目经理1名，</w:t>
      </w:r>
      <w:r>
        <w:rPr>
          <w:rFonts w:hint="eastAsia" w:ascii="宋体" w:hAnsi="宋体"/>
          <w:color w:val="auto"/>
          <w:highlight w:val="none"/>
          <w:lang w:val="en-US" w:eastAsia="zh-CN"/>
        </w:rPr>
        <w:t>承保人</w:t>
      </w:r>
      <w:r>
        <w:rPr>
          <w:rFonts w:hint="eastAsia" w:ascii="宋体" w:hAnsi="宋体"/>
          <w:color w:val="auto"/>
          <w:highlight w:val="none"/>
        </w:rPr>
        <w:t>员1名，理赔人员1名，</w:t>
      </w:r>
      <w:r>
        <w:rPr>
          <w:rFonts w:hint="eastAsia"/>
          <w:color w:val="auto"/>
          <w:sz w:val="21"/>
          <w:szCs w:val="21"/>
          <w:highlight w:val="none"/>
        </w:rPr>
        <w:t>共同负责按照本次保险的有关要求为采购单</w:t>
      </w:r>
      <w:r>
        <w:rPr>
          <w:rFonts w:hint="eastAsia"/>
          <w:color w:val="auto"/>
          <w:sz w:val="21"/>
          <w:szCs w:val="21"/>
        </w:rPr>
        <w:t>位提供承保、理赔及其他各类保险服务，包括必要的组织与协调工作。(提供专项小组名单)。</w:t>
      </w:r>
    </w:p>
    <w:p w14:paraId="76E1926C">
      <w:pPr>
        <w:spacing w:line="400" w:lineRule="exact"/>
        <w:ind w:firstLine="420" w:firstLineChars="200"/>
        <w:rPr>
          <w:rFonts w:hint="eastAsia"/>
          <w:color w:val="auto"/>
          <w:sz w:val="21"/>
          <w:szCs w:val="21"/>
        </w:rPr>
      </w:pPr>
      <w:r>
        <w:rPr>
          <w:rFonts w:hint="eastAsia"/>
          <w:color w:val="auto"/>
          <w:sz w:val="21"/>
          <w:szCs w:val="21"/>
          <w:lang w:val="en-US" w:eastAsia="zh-CN"/>
        </w:rPr>
        <w:t>1</w:t>
      </w:r>
      <w:r>
        <w:rPr>
          <w:rFonts w:hint="eastAsia"/>
          <w:color w:val="auto"/>
          <w:sz w:val="21"/>
          <w:szCs w:val="21"/>
        </w:rPr>
        <w:t>.2根据相应文件内容，配合投保人完成核保与出单事宜，并在收到投保单和保费五个工作日内将保单正本和保费发票派专人送达投保人。</w:t>
      </w:r>
    </w:p>
    <w:p w14:paraId="26FA205A">
      <w:pPr>
        <w:spacing w:line="400" w:lineRule="exact"/>
        <w:ind w:firstLine="420" w:firstLineChars="200"/>
        <w:rPr>
          <w:rFonts w:hint="eastAsia"/>
          <w:color w:val="auto"/>
          <w:sz w:val="21"/>
          <w:szCs w:val="21"/>
        </w:rPr>
      </w:pPr>
      <w:r>
        <w:rPr>
          <w:rFonts w:hint="eastAsia"/>
          <w:color w:val="auto"/>
          <w:sz w:val="21"/>
          <w:szCs w:val="21"/>
          <w:lang w:val="en-US" w:eastAsia="zh-CN"/>
        </w:rPr>
        <w:t>2</w:t>
      </w:r>
      <w:r>
        <w:rPr>
          <w:rFonts w:hint="eastAsia"/>
          <w:color w:val="auto"/>
          <w:sz w:val="21"/>
          <w:szCs w:val="21"/>
        </w:rPr>
        <w:t>、承保服务:</w:t>
      </w:r>
    </w:p>
    <w:p w14:paraId="2387000F">
      <w:pPr>
        <w:spacing w:line="400" w:lineRule="exact"/>
        <w:ind w:firstLine="420" w:firstLineChars="200"/>
        <w:rPr>
          <w:rFonts w:hint="eastAsia"/>
          <w:color w:val="auto"/>
          <w:sz w:val="21"/>
          <w:szCs w:val="21"/>
        </w:rPr>
      </w:pPr>
      <w:r>
        <w:rPr>
          <w:rFonts w:hint="eastAsia"/>
          <w:color w:val="auto"/>
          <w:sz w:val="21"/>
          <w:szCs w:val="21"/>
          <w:lang w:val="en-US" w:eastAsia="zh-CN"/>
        </w:rPr>
        <w:t>2</w:t>
      </w:r>
      <w:r>
        <w:rPr>
          <w:rFonts w:hint="eastAsia"/>
          <w:color w:val="auto"/>
          <w:sz w:val="21"/>
          <w:szCs w:val="21"/>
        </w:rPr>
        <w:t>.1采用纸质和电脑数据相结合的建档方式，供相关部门参阅。</w:t>
      </w:r>
    </w:p>
    <w:p w14:paraId="5E1C547D">
      <w:pPr>
        <w:spacing w:line="400" w:lineRule="exact"/>
        <w:ind w:firstLine="420" w:firstLineChars="200"/>
        <w:rPr>
          <w:rFonts w:hint="eastAsia"/>
          <w:color w:val="auto"/>
          <w:sz w:val="21"/>
          <w:szCs w:val="21"/>
        </w:rPr>
      </w:pPr>
      <w:r>
        <w:rPr>
          <w:rFonts w:hint="eastAsia"/>
          <w:color w:val="auto"/>
          <w:sz w:val="21"/>
          <w:szCs w:val="21"/>
          <w:lang w:val="en-US" w:eastAsia="zh-CN"/>
        </w:rPr>
        <w:t>2</w:t>
      </w:r>
      <w:r>
        <w:rPr>
          <w:rFonts w:hint="eastAsia"/>
          <w:color w:val="auto"/>
          <w:sz w:val="21"/>
          <w:szCs w:val="21"/>
        </w:rPr>
        <w:t>.2指定专门的客服人员，接受各方咨询，解释相关保险内容。</w:t>
      </w:r>
    </w:p>
    <w:p w14:paraId="0CE9520B">
      <w:pPr>
        <w:spacing w:line="400" w:lineRule="exact"/>
        <w:ind w:firstLine="420" w:firstLineChars="200"/>
        <w:rPr>
          <w:rFonts w:hint="eastAsia"/>
          <w:color w:val="auto"/>
          <w:sz w:val="21"/>
          <w:szCs w:val="21"/>
        </w:rPr>
      </w:pPr>
      <w:r>
        <w:rPr>
          <w:rFonts w:hint="eastAsia"/>
          <w:color w:val="auto"/>
          <w:sz w:val="21"/>
          <w:szCs w:val="21"/>
          <w:lang w:val="en-US" w:eastAsia="zh-CN"/>
        </w:rPr>
        <w:t>2</w:t>
      </w:r>
      <w:r>
        <w:rPr>
          <w:rFonts w:hint="eastAsia"/>
          <w:color w:val="auto"/>
          <w:sz w:val="21"/>
          <w:szCs w:val="21"/>
        </w:rPr>
        <w:t>.3定期走访项目专员，听取相关意见和建议，不断提高服务水平，为后续的参保工作做好准备。</w:t>
      </w:r>
    </w:p>
    <w:p w14:paraId="7CCD826D">
      <w:pPr>
        <w:spacing w:line="400" w:lineRule="exact"/>
        <w:ind w:firstLine="420" w:firstLineChars="200"/>
        <w:rPr>
          <w:rFonts w:hint="eastAsia"/>
          <w:color w:val="auto"/>
          <w:sz w:val="21"/>
          <w:szCs w:val="21"/>
        </w:rPr>
      </w:pPr>
      <w:r>
        <w:rPr>
          <w:rFonts w:hint="eastAsia"/>
          <w:color w:val="auto"/>
          <w:sz w:val="21"/>
          <w:szCs w:val="21"/>
          <w:lang w:val="en-US" w:eastAsia="zh-CN"/>
        </w:rPr>
        <w:t>2</w:t>
      </w:r>
      <w:r>
        <w:rPr>
          <w:rFonts w:hint="eastAsia"/>
          <w:color w:val="auto"/>
          <w:sz w:val="21"/>
          <w:szCs w:val="21"/>
        </w:rPr>
        <w:t>.4每月按时向医院汇报上月的承保及理赔情况。</w:t>
      </w:r>
    </w:p>
    <w:p w14:paraId="7E6765BE">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、理赔服务:</w:t>
      </w:r>
    </w:p>
    <w:p w14:paraId="536CDCFF">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.1保险服务基础标准:</w:t>
      </w:r>
    </w:p>
    <w:p w14:paraId="077B96F8">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.1.1统一实行 24 小时接报案;</w:t>
      </w:r>
    </w:p>
    <w:p w14:paraId="44C99B43">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.1.2统一实行 24 小时查勘;</w:t>
      </w:r>
    </w:p>
    <w:p w14:paraId="0A534B78">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.1.3统一实行 24 小时救援;</w:t>
      </w:r>
    </w:p>
    <w:p w14:paraId="00469247">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.1.4统一实行8小时全年无休理赔工作;</w:t>
      </w:r>
    </w:p>
    <w:p w14:paraId="2B6E51D1">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.1.5 统一实行 24小时投诉服务;</w:t>
      </w:r>
    </w:p>
    <w:p w14:paraId="591ECD57">
      <w:pPr>
        <w:spacing w:line="400" w:lineRule="exact"/>
        <w:ind w:firstLine="420" w:firstLineChars="200"/>
        <w:rPr>
          <w:rFonts w:ascii="宋体" w:hAnsi="宋体"/>
          <w:color w:val="auto"/>
          <w:highlight w:val="none"/>
        </w:rPr>
      </w:pPr>
      <w:r>
        <w:rPr>
          <w:rFonts w:hint="eastAsia"/>
          <w:color w:val="auto"/>
          <w:sz w:val="21"/>
          <w:szCs w:val="21"/>
          <w:lang w:val="en-US" w:eastAsia="zh-CN"/>
        </w:rPr>
        <w:t>3</w:t>
      </w:r>
      <w:r>
        <w:rPr>
          <w:rFonts w:hint="eastAsia"/>
          <w:color w:val="auto"/>
          <w:sz w:val="21"/>
          <w:szCs w:val="21"/>
        </w:rPr>
        <w:t>.1.6设立24小时保险服务专线电话，电脑录音系统和查勘调度系统保证畅通无误，及时准确。全年365天随时接受被保险人的出险报案，并立即通</w:t>
      </w:r>
      <w:r>
        <w:rPr>
          <w:rFonts w:hint="eastAsia"/>
          <w:color w:val="auto"/>
          <w:sz w:val="21"/>
          <w:szCs w:val="21"/>
          <w:highlight w:val="none"/>
        </w:rPr>
        <w:t>知保险公司本项目</w:t>
      </w:r>
      <w:r>
        <w:rPr>
          <w:rFonts w:hint="eastAsia" w:ascii="宋体" w:hAnsi="宋体"/>
          <w:color w:val="auto"/>
          <w:highlight w:val="none"/>
          <w:lang w:val="en-US" w:eastAsia="zh-CN"/>
        </w:rPr>
        <w:t>专项服务小组成员</w:t>
      </w:r>
      <w:r>
        <w:rPr>
          <w:rFonts w:ascii="宋体" w:hAnsi="宋体"/>
          <w:color w:val="auto"/>
          <w:highlight w:val="none"/>
        </w:rPr>
        <w:t>。</w:t>
      </w:r>
    </w:p>
    <w:p w14:paraId="510F522F">
      <w:pPr>
        <w:spacing w:line="400" w:lineRule="exact"/>
        <w:ind w:firstLine="420" w:firstLineChars="200"/>
        <w:rPr>
          <w:rFonts w:hint="eastAsia"/>
          <w:color w:val="auto"/>
          <w:sz w:val="21"/>
          <w:szCs w:val="21"/>
          <w:lang w:val="en-US" w:eastAsia="zh-CN"/>
        </w:rPr>
      </w:pPr>
      <w:r>
        <w:rPr>
          <w:rFonts w:hint="eastAsia"/>
          <w:color w:val="auto"/>
          <w:sz w:val="21"/>
          <w:szCs w:val="21"/>
          <w:lang w:val="en-US" w:eastAsia="zh-CN"/>
        </w:rPr>
        <w:t>3</w:t>
      </w:r>
      <w:r>
        <w:rPr>
          <w:rFonts w:hint="eastAsia"/>
          <w:color w:val="auto"/>
          <w:sz w:val="21"/>
          <w:szCs w:val="21"/>
        </w:rPr>
        <w:t>.2设立专人专门窗口负责受理医院赔款案件，实行一站式服务，确保理赔、财务、</w:t>
      </w:r>
      <w:r>
        <w:rPr>
          <w:rFonts w:hint="eastAsia"/>
          <w:color w:val="auto"/>
          <w:sz w:val="21"/>
          <w:szCs w:val="21"/>
          <w:lang w:val="en-US" w:eastAsia="zh-CN"/>
        </w:rPr>
        <w:t>信息技术等环节的高效通畅。</w:t>
      </w:r>
    </w:p>
    <w:p w14:paraId="1E4E3773">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.3接到报案后应详细的告知被保险人注意事项，承保范围，保障内容及理赔时需要准备的材料等，不得欺骗、误导被保险人;</w:t>
      </w:r>
    </w:p>
    <w:p w14:paraId="5AD7AA55">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.4配合被保险人了解、熟悉理赔流程，指定专人上门收取索赔单证，并在约定的时间内上门收取，不得以任何理由拒绝上门服务，让保户足不出户即可办理保险索赔事宜。</w:t>
      </w:r>
    </w:p>
    <w:p w14:paraId="452830CD">
      <w:pPr>
        <w:spacing w:line="400" w:lineRule="exact"/>
        <w:ind w:firstLine="420" w:firstLineChars="200"/>
        <w:rPr>
          <w:rFonts w:hint="eastAsia"/>
          <w:color w:val="auto"/>
          <w:sz w:val="21"/>
          <w:szCs w:val="21"/>
          <w:highlight w:val="yellow"/>
        </w:rPr>
      </w:pPr>
      <w:r>
        <w:rPr>
          <w:rFonts w:hint="eastAsia"/>
          <w:color w:val="auto"/>
          <w:sz w:val="21"/>
          <w:szCs w:val="21"/>
          <w:highlight w:val="none"/>
          <w:lang w:val="en-US" w:eastAsia="zh-CN"/>
        </w:rPr>
        <w:t>3</w:t>
      </w:r>
      <w:r>
        <w:rPr>
          <w:rFonts w:hint="eastAsia"/>
          <w:color w:val="auto"/>
          <w:sz w:val="21"/>
          <w:szCs w:val="21"/>
          <w:highlight w:val="none"/>
        </w:rPr>
        <w:t>.5保险公司上门收取理赔资料时，若认为有关证明或材料不完整，立刻以书面或口头方式通知被保险人需补充提供的有关证明或材料。</w:t>
      </w:r>
    </w:p>
    <w:p w14:paraId="5D3E4136">
      <w:pPr>
        <w:spacing w:line="400" w:lineRule="exact"/>
        <w:ind w:firstLine="420" w:firstLineChars="200"/>
        <w:rPr>
          <w:rFonts w:hint="eastAsia"/>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w:t>
      </w:r>
      <w:r>
        <w:rPr>
          <w:rFonts w:hint="eastAsia"/>
          <w:color w:val="auto"/>
          <w:sz w:val="21"/>
          <w:szCs w:val="21"/>
          <w:highlight w:val="none"/>
          <w:lang w:val="en-US" w:eastAsia="zh-CN"/>
        </w:rPr>
        <w:t>6</w:t>
      </w:r>
      <w:r>
        <w:rPr>
          <w:rFonts w:hint="eastAsia"/>
          <w:color w:val="auto"/>
          <w:sz w:val="21"/>
          <w:szCs w:val="21"/>
          <w:highlight w:val="none"/>
        </w:rPr>
        <w:t>接到被保险人报案后，对于属于保险责任的事故，同意按照以下约定及时确定赔偿金额:资料齐全后10工作日内确定赔偿金额。</w:t>
      </w:r>
    </w:p>
    <w:p w14:paraId="7A6410C1">
      <w:pPr>
        <w:spacing w:line="400" w:lineRule="exact"/>
        <w:ind w:firstLine="420" w:firstLineChars="200"/>
        <w:rPr>
          <w:rFonts w:hint="eastAsia"/>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w:t>
      </w:r>
      <w:r>
        <w:rPr>
          <w:rFonts w:hint="eastAsia"/>
          <w:color w:val="auto"/>
          <w:sz w:val="21"/>
          <w:szCs w:val="21"/>
          <w:highlight w:val="none"/>
          <w:lang w:val="en-US" w:eastAsia="zh-CN"/>
        </w:rPr>
        <w:t>7</w:t>
      </w:r>
      <w:r>
        <w:rPr>
          <w:rFonts w:hint="eastAsia"/>
          <w:color w:val="auto"/>
          <w:sz w:val="21"/>
          <w:szCs w:val="21"/>
          <w:highlight w:val="none"/>
        </w:rPr>
        <w:t>对于不属于保险责任的,</w:t>
      </w:r>
      <w:r>
        <w:rPr>
          <w:rFonts w:hint="eastAsia"/>
          <w:color w:val="auto"/>
          <w:sz w:val="21"/>
          <w:szCs w:val="21"/>
          <w:highlight w:val="none"/>
          <w:lang w:val="en-US" w:eastAsia="zh-CN"/>
        </w:rPr>
        <w:t>保险人根据《保险法》的要求</w:t>
      </w:r>
      <w:r>
        <w:rPr>
          <w:rFonts w:hint="eastAsia"/>
          <w:color w:val="auto"/>
          <w:sz w:val="21"/>
          <w:szCs w:val="21"/>
          <w:highlight w:val="none"/>
        </w:rPr>
        <w:t>向其发出《拒赔通知书》。</w:t>
      </w:r>
    </w:p>
    <w:p w14:paraId="623DE1E2">
      <w:pPr>
        <w:spacing w:line="400" w:lineRule="exact"/>
        <w:ind w:firstLine="420" w:firstLineChars="200"/>
        <w:rPr>
          <w:rFonts w:hint="eastAsia"/>
          <w:color w:val="auto"/>
          <w:sz w:val="21"/>
          <w:szCs w:val="21"/>
        </w:rPr>
      </w:pPr>
      <w:r>
        <w:rPr>
          <w:rFonts w:hint="eastAsia"/>
          <w:color w:val="auto"/>
          <w:sz w:val="21"/>
          <w:szCs w:val="21"/>
          <w:lang w:val="en-US" w:eastAsia="zh-CN"/>
        </w:rPr>
        <w:t>3</w:t>
      </w:r>
      <w:r>
        <w:rPr>
          <w:rFonts w:hint="eastAsia"/>
          <w:color w:val="auto"/>
          <w:sz w:val="21"/>
          <w:szCs w:val="21"/>
        </w:rPr>
        <w:t>.</w:t>
      </w:r>
      <w:r>
        <w:rPr>
          <w:rFonts w:hint="eastAsia"/>
          <w:color w:val="auto"/>
          <w:sz w:val="21"/>
          <w:szCs w:val="21"/>
          <w:lang w:val="en-US" w:eastAsia="zh-CN"/>
        </w:rPr>
        <w:t>8</w:t>
      </w:r>
      <w:r>
        <w:rPr>
          <w:rFonts w:hint="eastAsia"/>
          <w:color w:val="auto"/>
          <w:sz w:val="21"/>
          <w:szCs w:val="21"/>
        </w:rPr>
        <w:t>及时登记理赔相关信息，每月向医院汇报未决案件的进展情况，并形成书面汇报</w:t>
      </w:r>
    </w:p>
    <w:p w14:paraId="6BBD9125">
      <w:pPr>
        <w:spacing w:line="400" w:lineRule="exact"/>
        <w:ind w:firstLine="420" w:firstLineChars="200"/>
        <w:rPr>
          <w:rFonts w:hint="eastAsia"/>
          <w:color w:val="auto"/>
          <w:sz w:val="21"/>
          <w:szCs w:val="21"/>
        </w:rPr>
      </w:pPr>
      <w:r>
        <w:rPr>
          <w:rFonts w:hint="eastAsia"/>
          <w:color w:val="auto"/>
          <w:sz w:val="21"/>
          <w:szCs w:val="21"/>
          <w:lang w:val="en-US" w:eastAsia="zh-CN"/>
        </w:rPr>
        <w:t>4</w:t>
      </w:r>
      <w:r>
        <w:rPr>
          <w:rFonts w:hint="eastAsia"/>
          <w:color w:val="auto"/>
          <w:sz w:val="21"/>
          <w:szCs w:val="21"/>
        </w:rPr>
        <w:t>、其他保险服务承诺:</w:t>
      </w:r>
    </w:p>
    <w:p w14:paraId="1D9B4294">
      <w:pPr>
        <w:spacing w:line="400" w:lineRule="exact"/>
        <w:ind w:firstLine="420" w:firstLineChars="200"/>
        <w:rPr>
          <w:rFonts w:hint="eastAsia"/>
          <w:color w:val="auto"/>
          <w:sz w:val="21"/>
          <w:szCs w:val="21"/>
        </w:rPr>
      </w:pPr>
      <w:r>
        <w:rPr>
          <w:rFonts w:hint="eastAsia"/>
          <w:color w:val="auto"/>
          <w:sz w:val="21"/>
          <w:szCs w:val="21"/>
          <w:lang w:val="en-US" w:eastAsia="zh-CN"/>
        </w:rPr>
        <w:t>4</w:t>
      </w:r>
      <w:r>
        <w:rPr>
          <w:rFonts w:hint="eastAsia"/>
          <w:color w:val="auto"/>
          <w:sz w:val="21"/>
          <w:szCs w:val="21"/>
        </w:rPr>
        <w:t>.1定期沟通制</w:t>
      </w:r>
    </w:p>
    <w:p w14:paraId="6B06BB92">
      <w:pPr>
        <w:spacing w:line="400" w:lineRule="exact"/>
        <w:ind w:firstLine="420" w:firstLineChars="200"/>
        <w:rPr>
          <w:rFonts w:hint="eastAsia" w:eastAsia="宋体"/>
          <w:color w:val="auto"/>
          <w:sz w:val="21"/>
          <w:szCs w:val="21"/>
          <w:lang w:eastAsia="zh-CN"/>
        </w:rPr>
      </w:pPr>
      <w:r>
        <w:rPr>
          <w:rFonts w:hint="eastAsia"/>
          <w:color w:val="auto"/>
          <w:sz w:val="21"/>
          <w:szCs w:val="21"/>
        </w:rPr>
        <w:t>双方良好的沟通有利于保险服务工作顺利开展，保险公司承诺在保险期限内将</w:t>
      </w:r>
      <w:r>
        <w:rPr>
          <w:rFonts w:hint="eastAsia"/>
          <w:color w:val="auto"/>
          <w:sz w:val="21"/>
          <w:szCs w:val="21"/>
          <w:lang w:eastAsia="zh-CN"/>
        </w:rPr>
        <w:t>：</w:t>
      </w:r>
    </w:p>
    <w:p w14:paraId="5AB457A7">
      <w:pPr>
        <w:spacing w:line="400" w:lineRule="exact"/>
        <w:ind w:firstLine="420" w:firstLineChars="200"/>
        <w:rPr>
          <w:rFonts w:hint="eastAsia"/>
          <w:color w:val="auto"/>
          <w:sz w:val="21"/>
          <w:szCs w:val="21"/>
        </w:rPr>
      </w:pPr>
      <w:r>
        <w:rPr>
          <w:rFonts w:hint="eastAsia"/>
          <w:color w:val="auto"/>
          <w:sz w:val="21"/>
          <w:szCs w:val="21"/>
          <w:lang w:val="en-US" w:eastAsia="zh-CN"/>
        </w:rPr>
        <w:t>4</w:t>
      </w:r>
      <w:r>
        <w:rPr>
          <w:rFonts w:hint="eastAsia"/>
          <w:color w:val="auto"/>
          <w:sz w:val="21"/>
          <w:szCs w:val="21"/>
        </w:rPr>
        <w:t>.1.1定期例会</w:t>
      </w:r>
    </w:p>
    <w:p w14:paraId="5C069A15">
      <w:pPr>
        <w:spacing w:line="400" w:lineRule="exact"/>
        <w:ind w:firstLine="420" w:firstLineChars="200"/>
        <w:rPr>
          <w:rFonts w:hint="eastAsia"/>
          <w:color w:val="auto"/>
          <w:sz w:val="21"/>
          <w:szCs w:val="21"/>
        </w:rPr>
      </w:pPr>
      <w:r>
        <w:rPr>
          <w:rFonts w:hint="eastAsia"/>
          <w:color w:val="auto"/>
          <w:sz w:val="21"/>
          <w:szCs w:val="21"/>
        </w:rPr>
        <w:t>每季度与投保人召开保险工作例会，通报保险事故情况、理赔进展情况、商定各项服务计划和共同解决需双方协调的事宜;并建立客户档案。</w:t>
      </w:r>
    </w:p>
    <w:p w14:paraId="05451FD1">
      <w:pPr>
        <w:spacing w:line="400" w:lineRule="exact"/>
        <w:ind w:firstLine="420" w:firstLineChars="200"/>
        <w:rPr>
          <w:rFonts w:hint="eastAsia"/>
          <w:color w:val="auto"/>
          <w:sz w:val="21"/>
          <w:szCs w:val="21"/>
        </w:rPr>
      </w:pPr>
      <w:r>
        <w:rPr>
          <w:rFonts w:hint="eastAsia"/>
          <w:color w:val="auto"/>
          <w:sz w:val="21"/>
          <w:szCs w:val="21"/>
          <w:lang w:val="en-US" w:eastAsia="zh-CN"/>
        </w:rPr>
        <w:t>4</w:t>
      </w:r>
      <w:r>
        <w:rPr>
          <w:rFonts w:hint="eastAsia"/>
          <w:color w:val="auto"/>
          <w:sz w:val="21"/>
          <w:szCs w:val="21"/>
        </w:rPr>
        <w:t>.1.2定期统计</w:t>
      </w:r>
    </w:p>
    <w:p w14:paraId="691F13B3">
      <w:pPr>
        <w:spacing w:line="400" w:lineRule="exact"/>
        <w:ind w:firstLine="420" w:firstLineChars="200"/>
        <w:rPr>
          <w:rFonts w:hint="eastAsia"/>
          <w:color w:val="auto"/>
          <w:sz w:val="21"/>
          <w:szCs w:val="21"/>
        </w:rPr>
      </w:pPr>
      <w:r>
        <w:rPr>
          <w:rFonts w:hint="eastAsia"/>
          <w:color w:val="auto"/>
          <w:sz w:val="21"/>
          <w:szCs w:val="21"/>
        </w:rPr>
        <w:t>将每月向投保人提供赔案统计报表，以便及时掌握理赔案件的进展情况，加快赔案处理速度。赔案统计报表建议包括的内容:出险时间、出险人员、出险原因、已决赔款金额、未决赔款金额等。</w:t>
      </w:r>
    </w:p>
    <w:p w14:paraId="7B43C450">
      <w:pPr>
        <w:spacing w:line="400" w:lineRule="exact"/>
        <w:ind w:firstLine="420" w:firstLineChars="200"/>
        <w:rPr>
          <w:rFonts w:hint="eastAsia"/>
          <w:color w:val="auto"/>
          <w:sz w:val="21"/>
          <w:szCs w:val="21"/>
        </w:rPr>
      </w:pPr>
      <w:r>
        <w:rPr>
          <w:rFonts w:hint="eastAsia"/>
          <w:color w:val="auto"/>
          <w:sz w:val="21"/>
          <w:szCs w:val="21"/>
          <w:lang w:val="en-US" w:eastAsia="zh-CN"/>
        </w:rPr>
        <w:t>4</w:t>
      </w:r>
      <w:r>
        <w:rPr>
          <w:rFonts w:hint="eastAsia"/>
          <w:color w:val="auto"/>
          <w:sz w:val="21"/>
          <w:szCs w:val="21"/>
        </w:rPr>
        <w:t>.2培训机制</w:t>
      </w:r>
    </w:p>
    <w:p w14:paraId="6980BD5F">
      <w:pPr>
        <w:spacing w:line="400" w:lineRule="exact"/>
        <w:ind w:firstLine="420" w:firstLineChars="200"/>
        <w:rPr>
          <w:rFonts w:hint="eastAsia"/>
          <w:color w:val="auto"/>
          <w:sz w:val="21"/>
          <w:szCs w:val="21"/>
        </w:rPr>
      </w:pPr>
      <w:r>
        <w:rPr>
          <w:rFonts w:hint="eastAsia"/>
          <w:color w:val="auto"/>
          <w:sz w:val="21"/>
          <w:szCs w:val="21"/>
        </w:rPr>
        <w:t>定期不定期组织被保险人并提供专项培训，培训内容主要包括保险的基础知识、保险合同责任及条款解释、保险事故索赔程序、风险管理等方面的内容。</w:t>
      </w:r>
    </w:p>
    <w:p w14:paraId="043EA254">
      <w:pPr>
        <w:spacing w:line="400" w:lineRule="exact"/>
        <w:ind w:firstLine="420" w:firstLineChars="200"/>
        <w:rPr>
          <w:rFonts w:hint="eastAsia"/>
          <w:color w:val="auto"/>
          <w:sz w:val="21"/>
          <w:szCs w:val="21"/>
        </w:rPr>
      </w:pPr>
      <w:r>
        <w:rPr>
          <w:rFonts w:hint="eastAsia"/>
          <w:color w:val="auto"/>
          <w:sz w:val="21"/>
          <w:szCs w:val="21"/>
          <w:lang w:val="en-US" w:eastAsia="zh-CN"/>
        </w:rPr>
        <w:t>4</w:t>
      </w:r>
      <w:r>
        <w:rPr>
          <w:rFonts w:hint="eastAsia"/>
          <w:color w:val="auto"/>
          <w:sz w:val="21"/>
          <w:szCs w:val="21"/>
        </w:rPr>
        <w:t>.3风险管理计划</w:t>
      </w:r>
    </w:p>
    <w:p w14:paraId="79C7BC29">
      <w:pPr>
        <w:spacing w:line="400" w:lineRule="exact"/>
        <w:ind w:firstLine="420" w:firstLineChars="200"/>
        <w:rPr>
          <w:rFonts w:hint="eastAsia"/>
          <w:color w:val="auto"/>
          <w:sz w:val="21"/>
          <w:szCs w:val="21"/>
        </w:rPr>
      </w:pPr>
      <w:r>
        <w:rPr>
          <w:rFonts w:hint="eastAsia"/>
          <w:color w:val="auto"/>
          <w:sz w:val="21"/>
          <w:szCs w:val="21"/>
        </w:rPr>
        <w:t>每年举办一次针对疾病预防，意外事故防范的活动，培训活动时间由投保人、保险人共同拟定。</w:t>
      </w:r>
    </w:p>
    <w:p w14:paraId="526F1651">
      <w:pPr>
        <w:spacing w:line="400" w:lineRule="exact"/>
        <w:ind w:firstLine="420" w:firstLineChars="200"/>
        <w:rPr>
          <w:rFonts w:hint="eastAsia"/>
          <w:color w:val="auto"/>
          <w:sz w:val="21"/>
          <w:szCs w:val="21"/>
        </w:rPr>
      </w:pPr>
      <w:r>
        <w:rPr>
          <w:rFonts w:hint="eastAsia"/>
          <w:color w:val="auto"/>
          <w:sz w:val="21"/>
          <w:szCs w:val="21"/>
          <w:lang w:val="en-US" w:eastAsia="zh-CN"/>
        </w:rPr>
        <w:t>4</w:t>
      </w:r>
      <w:r>
        <w:rPr>
          <w:rFonts w:hint="eastAsia"/>
          <w:color w:val="auto"/>
          <w:sz w:val="21"/>
          <w:szCs w:val="21"/>
        </w:rPr>
        <w:t>.4提供业主方要求的其他保险服务。</w:t>
      </w:r>
    </w:p>
    <w:p w14:paraId="797A9F93">
      <w:pPr>
        <w:pStyle w:val="16"/>
        <w:numPr>
          <w:ilvl w:val="0"/>
          <w:numId w:val="0"/>
        </w:numPr>
        <w:shd w:val="clear" w:color="auto" w:fill="FFFFFF"/>
        <w:spacing w:before="0" w:beforeAutospacing="0" w:after="0" w:afterAutospacing="0" w:line="360" w:lineRule="atLeast"/>
        <w:rPr>
          <w:rFonts w:hint="eastAsia"/>
          <w:b/>
          <w:bCs/>
          <w:color w:val="auto"/>
          <w:sz w:val="21"/>
          <w:szCs w:val="21"/>
        </w:rPr>
      </w:pPr>
      <w:r>
        <w:rPr>
          <w:rFonts w:hint="eastAsia"/>
          <w:b/>
          <w:bCs/>
          <w:color w:val="auto"/>
          <w:sz w:val="21"/>
          <w:szCs w:val="21"/>
          <w:lang w:val="en-US" w:eastAsia="zh-CN"/>
        </w:rPr>
        <w:t>八、院内论证响应文件的组成及要求：</w:t>
      </w:r>
    </w:p>
    <w:p w14:paraId="0A55D198">
      <w:pPr>
        <w:pStyle w:val="16"/>
        <w:numPr>
          <w:ilvl w:val="0"/>
          <w:numId w:val="0"/>
        </w:numPr>
        <w:shd w:val="clear" w:color="auto" w:fill="FFFFFF"/>
        <w:spacing w:before="0" w:beforeAutospacing="0" w:after="0" w:afterAutospacing="0" w:line="360" w:lineRule="atLeast"/>
        <w:ind w:firstLine="210" w:firstLineChars="100"/>
        <w:rPr>
          <w:rFonts w:hint="eastAsia"/>
          <w:color w:val="auto"/>
          <w:sz w:val="21"/>
          <w:szCs w:val="21"/>
        </w:rPr>
      </w:pPr>
      <w:r>
        <w:rPr>
          <w:rFonts w:hint="eastAsia"/>
          <w:color w:val="auto"/>
          <w:sz w:val="21"/>
          <w:szCs w:val="21"/>
        </w:rPr>
        <w:t>1、</w:t>
      </w:r>
      <w:r>
        <w:rPr>
          <w:rFonts w:hint="eastAsia" w:ascii="宋体" w:hAnsi="宋体" w:eastAsia="宋体"/>
          <w:color w:val="auto"/>
          <w:sz w:val="21"/>
          <w:szCs w:val="21"/>
        </w:rPr>
        <w:t>企业信用承诺书（</w:t>
      </w:r>
      <w:r>
        <w:rPr>
          <w:rFonts w:hint="eastAsia" w:ascii="宋体" w:hAnsi="宋体" w:eastAsia="宋体"/>
          <w:b/>
          <w:bCs/>
          <w:color w:val="auto"/>
          <w:sz w:val="21"/>
          <w:szCs w:val="21"/>
        </w:rPr>
        <w:t>请填写附件</w:t>
      </w:r>
      <w:r>
        <w:rPr>
          <w:rFonts w:hint="eastAsia"/>
          <w:b/>
          <w:bCs/>
          <w:color w:val="auto"/>
          <w:sz w:val="21"/>
          <w:szCs w:val="21"/>
          <w:lang w:val="en-US" w:eastAsia="zh-CN"/>
        </w:rPr>
        <w:t>1</w:t>
      </w:r>
      <w:r>
        <w:rPr>
          <w:rFonts w:hint="eastAsia" w:ascii="宋体" w:hAnsi="宋体" w:eastAsia="宋体"/>
          <w:color w:val="auto"/>
          <w:sz w:val="21"/>
          <w:szCs w:val="21"/>
        </w:rPr>
        <w:t>）</w:t>
      </w:r>
      <w:r>
        <w:rPr>
          <w:rFonts w:hint="eastAsia"/>
          <w:color w:val="auto"/>
          <w:sz w:val="21"/>
          <w:szCs w:val="21"/>
        </w:rPr>
        <w:t>；</w:t>
      </w:r>
    </w:p>
    <w:p w14:paraId="6D4F286F">
      <w:pPr>
        <w:pStyle w:val="16"/>
        <w:numPr>
          <w:ilvl w:val="0"/>
          <w:numId w:val="0"/>
        </w:numPr>
        <w:shd w:val="clear" w:color="auto" w:fill="FFFFFF"/>
        <w:spacing w:before="0" w:beforeAutospacing="0" w:after="0" w:afterAutospacing="0" w:line="360" w:lineRule="atLeast"/>
        <w:ind w:firstLine="210" w:firstLineChars="100"/>
        <w:rPr>
          <w:rFonts w:hint="eastAsia"/>
          <w:color w:val="auto"/>
          <w:sz w:val="21"/>
          <w:szCs w:val="21"/>
        </w:rPr>
      </w:pPr>
      <w:r>
        <w:rPr>
          <w:rFonts w:hint="eastAsia"/>
          <w:color w:val="auto"/>
          <w:sz w:val="21"/>
          <w:szCs w:val="21"/>
        </w:rPr>
        <w:t>2、</w:t>
      </w:r>
      <w:r>
        <w:rPr>
          <w:rFonts w:hint="eastAsia"/>
          <w:color w:val="auto"/>
          <w:sz w:val="21"/>
          <w:szCs w:val="21"/>
          <w:lang w:val="en-US" w:eastAsia="zh-CN"/>
        </w:rPr>
        <w:t>论证</w:t>
      </w:r>
      <w:r>
        <w:rPr>
          <w:rFonts w:hint="eastAsia" w:ascii="宋体" w:hAnsi="宋体" w:eastAsia="宋体"/>
          <w:color w:val="auto"/>
          <w:sz w:val="21"/>
          <w:szCs w:val="21"/>
        </w:rPr>
        <w:t>材料真实性及购销廉洁声明（</w:t>
      </w:r>
      <w:r>
        <w:rPr>
          <w:rFonts w:hint="eastAsia" w:ascii="宋体" w:hAnsi="宋体" w:eastAsia="宋体"/>
          <w:b/>
          <w:bCs/>
          <w:color w:val="auto"/>
          <w:sz w:val="21"/>
          <w:szCs w:val="21"/>
        </w:rPr>
        <w:t>见附件</w:t>
      </w:r>
      <w:r>
        <w:rPr>
          <w:rFonts w:hint="eastAsia"/>
          <w:b/>
          <w:bCs/>
          <w:color w:val="auto"/>
          <w:sz w:val="21"/>
          <w:szCs w:val="21"/>
          <w:lang w:val="en-US" w:eastAsia="zh-CN"/>
        </w:rPr>
        <w:t>2</w:t>
      </w:r>
      <w:r>
        <w:rPr>
          <w:rFonts w:hint="eastAsia" w:ascii="宋体" w:hAnsi="宋体" w:eastAsia="宋体"/>
          <w:color w:val="auto"/>
          <w:sz w:val="21"/>
          <w:szCs w:val="21"/>
        </w:rPr>
        <w:t>）</w:t>
      </w:r>
      <w:r>
        <w:rPr>
          <w:rFonts w:hint="eastAsia"/>
          <w:color w:val="auto"/>
          <w:sz w:val="21"/>
          <w:szCs w:val="21"/>
        </w:rPr>
        <w:t>；</w:t>
      </w:r>
    </w:p>
    <w:p w14:paraId="46F11826">
      <w:pPr>
        <w:pStyle w:val="16"/>
        <w:numPr>
          <w:ilvl w:val="0"/>
          <w:numId w:val="0"/>
        </w:numPr>
        <w:shd w:val="clear" w:color="auto" w:fill="FFFFFF"/>
        <w:spacing w:before="0" w:beforeAutospacing="0" w:after="0" w:afterAutospacing="0" w:line="360" w:lineRule="atLeast"/>
        <w:ind w:firstLine="210" w:firstLineChars="100"/>
        <w:rPr>
          <w:rFonts w:hint="eastAsia"/>
          <w:color w:val="auto"/>
          <w:sz w:val="21"/>
          <w:szCs w:val="21"/>
        </w:rPr>
      </w:pPr>
      <w:r>
        <w:rPr>
          <w:rFonts w:hint="eastAsia"/>
          <w:color w:val="auto"/>
          <w:sz w:val="21"/>
          <w:szCs w:val="21"/>
        </w:rPr>
        <w:t>3、响应报价表</w:t>
      </w:r>
      <w:r>
        <w:rPr>
          <w:rFonts w:hint="eastAsia"/>
          <w:color w:val="auto"/>
          <w:sz w:val="21"/>
          <w:szCs w:val="21"/>
          <w:lang w:eastAsia="zh-CN"/>
        </w:rPr>
        <w:t>（</w:t>
      </w:r>
      <w:r>
        <w:rPr>
          <w:rFonts w:hint="eastAsia"/>
          <w:b/>
          <w:bCs/>
          <w:color w:val="auto"/>
          <w:sz w:val="21"/>
          <w:szCs w:val="21"/>
          <w:lang w:val="en-US" w:eastAsia="zh-CN"/>
        </w:rPr>
        <w:t>单独封装1份</w:t>
      </w:r>
      <w:r>
        <w:rPr>
          <w:rFonts w:hint="eastAsia"/>
          <w:color w:val="auto"/>
          <w:sz w:val="21"/>
          <w:szCs w:val="21"/>
          <w:lang w:eastAsia="zh-CN"/>
        </w:rPr>
        <w:t>）</w:t>
      </w:r>
      <w:r>
        <w:rPr>
          <w:rFonts w:hint="eastAsia"/>
          <w:color w:val="auto"/>
          <w:sz w:val="21"/>
          <w:szCs w:val="21"/>
        </w:rPr>
        <w:t>；</w:t>
      </w:r>
    </w:p>
    <w:p w14:paraId="55282FA6">
      <w:pPr>
        <w:pStyle w:val="16"/>
        <w:numPr>
          <w:ilvl w:val="0"/>
          <w:numId w:val="0"/>
        </w:numPr>
        <w:shd w:val="clear" w:color="auto" w:fill="FFFFFF"/>
        <w:spacing w:before="0" w:beforeAutospacing="0" w:after="0" w:afterAutospacing="0" w:line="360" w:lineRule="atLeast"/>
        <w:ind w:firstLine="210" w:firstLineChars="100"/>
        <w:rPr>
          <w:rFonts w:hint="eastAsia" w:ascii="宋体" w:hAnsi="宋体" w:eastAsia="宋体" w:cs="宋体"/>
          <w:i w:val="0"/>
          <w:iCs w:val="0"/>
          <w:caps w:val="0"/>
          <w:color w:val="auto"/>
          <w:spacing w:val="0"/>
          <w:sz w:val="21"/>
          <w:szCs w:val="21"/>
          <w:shd w:val="clear" w:fill="FFFFFF"/>
        </w:rPr>
      </w:pPr>
      <w:r>
        <w:rPr>
          <w:rFonts w:hint="eastAsia"/>
          <w:color w:val="auto"/>
          <w:sz w:val="21"/>
          <w:szCs w:val="21"/>
        </w:rPr>
        <w:t>4、资格证明材料</w:t>
      </w:r>
    </w:p>
    <w:p w14:paraId="1C15F401">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210" w:firstLineChars="100"/>
        <w:rPr>
          <w:rFonts w:hint="default" w:ascii="宋体" w:hAnsi="宋体" w:eastAsia="宋体" w:cs="宋体"/>
          <w:i w:val="0"/>
          <w:iCs w:val="0"/>
          <w:caps w:val="0"/>
          <w:color w:val="auto"/>
          <w:spacing w:val="0"/>
          <w:sz w:val="21"/>
          <w:szCs w:val="21"/>
          <w:shd w:val="clear" w:fill="FFFFFF"/>
          <w:lang w:val="en-US" w:eastAsia="zh-CN"/>
        </w:rPr>
      </w:pPr>
      <w:r>
        <w:rPr>
          <w:rFonts w:hint="eastAsia"/>
          <w:color w:val="auto"/>
          <w:sz w:val="21"/>
          <w:szCs w:val="21"/>
          <w:lang w:val="en-US" w:eastAsia="zh-CN"/>
        </w:rPr>
        <w:t>5、项目</w:t>
      </w:r>
      <w:r>
        <w:rPr>
          <w:rFonts w:hint="eastAsia" w:ascii="宋体" w:hAnsi="宋体" w:cs="宋体"/>
          <w:i w:val="0"/>
          <w:iCs w:val="0"/>
          <w:caps w:val="0"/>
          <w:color w:val="auto"/>
          <w:spacing w:val="0"/>
          <w:sz w:val="21"/>
          <w:szCs w:val="21"/>
          <w:shd w:val="clear" w:fill="FFFFFF"/>
          <w:lang w:val="en-US" w:eastAsia="zh-CN"/>
        </w:rPr>
        <w:t>服务方案：</w:t>
      </w:r>
    </w:p>
    <w:p w14:paraId="016A776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（一）保险内容接受情况</w:t>
      </w:r>
    </w:p>
    <w:p w14:paraId="0E04D7B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 针对本项目的承保方案响应情况（包括但不限于保障条件接受情况、承保服务接受情况、理赔服务接受情况、没有任何特殊限制条件、其他优惠条件等）保险方案接受情况表和主要承保条件、论证响应单位响应内容与论证公告方案要求的差异一览表及上述承诺的其它承保优惠条件或增值服务（论证响应单位在响应论证公告要求的基础上的优惠条件说明）；</w:t>
      </w:r>
    </w:p>
    <w:p w14:paraId="0DD401F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（二）服务方案及能力比较</w:t>
      </w:r>
    </w:p>
    <w:p w14:paraId="386F400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1、服务机构设立情况</w:t>
      </w:r>
    </w:p>
    <w:p w14:paraId="3006C20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2、服务人员工作经验</w:t>
      </w:r>
    </w:p>
    <w:p w14:paraId="52836AF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3、服务承诺及方案制订</w:t>
      </w:r>
    </w:p>
    <w:p w14:paraId="1ACD6A3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4、服务质量承诺及监督措施</w:t>
      </w:r>
    </w:p>
    <w:p w14:paraId="2B6F63B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5、防灾防损承诺及方案制订</w:t>
      </w:r>
    </w:p>
    <w:p w14:paraId="6E0D036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6、针对论证单位特殊情况所制定的保险方案及赔付内容比较</w:t>
      </w:r>
    </w:p>
    <w:p w14:paraId="15C016C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（三）论证响应单位履约能力及其他比较</w:t>
      </w:r>
    </w:p>
    <w:p w14:paraId="6B099BB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1、类似医疗机构承保经验苏州地区类似医疗机构承保业务规模及介绍、承保经验（20</w:t>
      </w:r>
      <w:r>
        <w:rPr>
          <w:rFonts w:hint="eastAsia" w:ascii="宋体" w:hAnsi="宋体" w:cs="宋体"/>
          <w:i w:val="0"/>
          <w:iCs w:val="0"/>
          <w:caps w:val="0"/>
          <w:color w:val="auto"/>
          <w:spacing w:val="0"/>
          <w:sz w:val="21"/>
          <w:szCs w:val="21"/>
          <w:shd w:val="clear" w:fill="FFFFFF"/>
          <w:lang w:val="en-US" w:eastAsia="zh-CN"/>
        </w:rPr>
        <w:t>22</w:t>
      </w:r>
      <w:r>
        <w:rPr>
          <w:rFonts w:hint="eastAsia" w:ascii="宋体" w:hAnsi="宋体" w:eastAsia="宋体" w:cs="宋体"/>
          <w:i w:val="0"/>
          <w:iCs w:val="0"/>
          <w:caps w:val="0"/>
          <w:color w:val="auto"/>
          <w:spacing w:val="0"/>
          <w:sz w:val="21"/>
          <w:szCs w:val="21"/>
          <w:shd w:val="clear" w:fill="FFFFFF"/>
        </w:rPr>
        <w:t>-202</w:t>
      </w:r>
      <w:r>
        <w:rPr>
          <w:rFonts w:hint="eastAsia" w:ascii="宋体" w:hAnsi="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年分别列明）（以报保险监管部门报表为准）</w:t>
      </w:r>
    </w:p>
    <w:p w14:paraId="0F26E2C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2、类似医疗机构理赔经验苏州地区类似医疗机构承保业务处理保险赔案的经验</w:t>
      </w:r>
    </w:p>
    <w:p w14:paraId="63D8519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3、保险公司荣誉</w:t>
      </w:r>
    </w:p>
    <w:p w14:paraId="6A828DB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4、保险公司资质</w:t>
      </w:r>
    </w:p>
    <w:p w14:paraId="41A86A6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5、保险公司服务评价</w:t>
      </w:r>
      <w:bookmarkStart w:id="0" w:name="_GoBack"/>
      <w:bookmarkEnd w:id="0"/>
    </w:p>
    <w:p w14:paraId="78394D4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6、保险公司对本身所具备的主要竞争优势的书面阐述和公司简介</w:t>
      </w:r>
    </w:p>
    <w:p w14:paraId="6B76540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i w:val="0"/>
          <w:iCs w:val="0"/>
          <w:color w:val="auto"/>
          <w:sz w:val="21"/>
          <w:szCs w:val="21"/>
        </w:rPr>
      </w:pPr>
      <w:r>
        <w:rPr>
          <w:rFonts w:hint="eastAsia" w:ascii="宋体" w:hAnsi="宋体" w:eastAsia="宋体" w:cs="宋体"/>
          <w:i w:val="0"/>
          <w:iCs w:val="0"/>
          <w:caps w:val="0"/>
          <w:color w:val="auto"/>
          <w:spacing w:val="0"/>
          <w:sz w:val="21"/>
          <w:szCs w:val="21"/>
          <w:shd w:val="clear" w:fill="FFFFFF"/>
        </w:rPr>
        <w:t>7、其它需要声明或附加的事项</w:t>
      </w:r>
    </w:p>
    <w:p w14:paraId="37A69D6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论证文件</w:t>
      </w:r>
      <w:r>
        <w:rPr>
          <w:rFonts w:hint="eastAsia" w:ascii="宋体" w:hAnsi="宋体" w:eastAsia="宋体" w:cs="宋体"/>
          <w:i w:val="0"/>
          <w:iCs w:val="0"/>
          <w:caps w:val="0"/>
          <w:color w:val="auto"/>
          <w:spacing w:val="0"/>
          <w:sz w:val="21"/>
          <w:szCs w:val="21"/>
          <w:shd w:val="clear" w:fill="FFFFFF"/>
        </w:rPr>
        <w:t>数量要求为一正</w:t>
      </w:r>
      <w:r>
        <w:rPr>
          <w:rFonts w:hint="eastAsia" w:ascii="宋体" w:hAnsi="宋体" w:eastAsia="宋体" w:cs="宋体"/>
          <w:i w:val="0"/>
          <w:iCs w:val="0"/>
          <w:caps w:val="0"/>
          <w:color w:val="auto"/>
          <w:spacing w:val="0"/>
          <w:sz w:val="21"/>
          <w:szCs w:val="21"/>
          <w:shd w:val="clear" w:fill="FFFFFF"/>
          <w:lang w:val="en-US" w:eastAsia="zh-CN"/>
        </w:rPr>
        <w:t>四</w:t>
      </w:r>
      <w:r>
        <w:rPr>
          <w:rFonts w:hint="eastAsia" w:ascii="宋体" w:hAnsi="宋体" w:eastAsia="宋体" w:cs="宋体"/>
          <w:i w:val="0"/>
          <w:iCs w:val="0"/>
          <w:caps w:val="0"/>
          <w:color w:val="auto"/>
          <w:spacing w:val="0"/>
          <w:sz w:val="21"/>
          <w:szCs w:val="21"/>
          <w:shd w:val="clear" w:fill="FFFFFF"/>
        </w:rPr>
        <w:t>副； 正副本内容应一致，如有矛盾以正本为准，装在一个袋里密封，封口处盖章，并在密封袋正面有醒目的响应单位全称</w:t>
      </w:r>
      <w:r>
        <w:rPr>
          <w:rFonts w:hint="eastAsia" w:ascii="宋体" w:hAnsi="宋体" w:eastAsia="宋体" w:cs="宋体"/>
          <w:i w:val="0"/>
          <w:iCs w:val="0"/>
          <w:caps w:val="0"/>
          <w:color w:val="auto"/>
          <w:spacing w:val="0"/>
          <w:sz w:val="21"/>
          <w:szCs w:val="21"/>
          <w:shd w:val="clear" w:fill="FFFFFF"/>
          <w:lang w:eastAsia="zh-CN"/>
        </w:rPr>
        <w:t>。</w:t>
      </w:r>
    </w:p>
    <w:p w14:paraId="5D0920C2">
      <w:pPr>
        <w:spacing w:line="400" w:lineRule="exact"/>
        <w:ind w:firstLine="420" w:firstLineChars="200"/>
        <w:rPr>
          <w:rFonts w:hint="eastAsia"/>
          <w:color w:val="auto"/>
          <w:sz w:val="21"/>
          <w:szCs w:val="21"/>
        </w:rPr>
      </w:pPr>
    </w:p>
    <w:p w14:paraId="238A6164">
      <w:pPr>
        <w:spacing w:line="400" w:lineRule="exact"/>
        <w:ind w:firstLine="420" w:firstLineChars="200"/>
        <w:rPr>
          <w:rFonts w:hint="eastAsia"/>
          <w:color w:val="auto"/>
          <w:sz w:val="21"/>
          <w:szCs w:val="21"/>
        </w:rPr>
      </w:pPr>
    </w:p>
    <w:p w14:paraId="2E7D2208">
      <w:pPr>
        <w:spacing w:line="400" w:lineRule="exact"/>
        <w:ind w:firstLine="420" w:firstLineChars="200"/>
        <w:rPr>
          <w:rFonts w:hint="eastAsia"/>
          <w:color w:val="auto"/>
          <w:sz w:val="21"/>
          <w:szCs w:val="21"/>
        </w:rPr>
      </w:pPr>
    </w:p>
    <w:p w14:paraId="4F8725C2">
      <w:pPr>
        <w:spacing w:line="400" w:lineRule="exact"/>
        <w:ind w:firstLine="420" w:firstLineChars="200"/>
        <w:rPr>
          <w:rFonts w:hint="eastAsia"/>
          <w:color w:val="auto"/>
          <w:sz w:val="21"/>
          <w:szCs w:val="21"/>
        </w:rPr>
      </w:pPr>
    </w:p>
    <w:p w14:paraId="1A7A46F5">
      <w:pPr>
        <w:spacing w:line="400" w:lineRule="exact"/>
        <w:ind w:firstLine="420" w:firstLineChars="200"/>
        <w:rPr>
          <w:rFonts w:hint="eastAsia"/>
          <w:color w:val="auto"/>
          <w:sz w:val="21"/>
          <w:szCs w:val="21"/>
        </w:rPr>
      </w:pPr>
    </w:p>
    <w:p w14:paraId="6BA43717">
      <w:pPr>
        <w:spacing w:line="400" w:lineRule="exact"/>
        <w:ind w:firstLine="420" w:firstLineChars="200"/>
        <w:rPr>
          <w:rFonts w:hint="eastAsia"/>
          <w:color w:val="auto"/>
          <w:sz w:val="21"/>
          <w:szCs w:val="21"/>
        </w:rPr>
      </w:pPr>
    </w:p>
    <w:p w14:paraId="645C5F47">
      <w:pPr>
        <w:spacing w:line="400" w:lineRule="exact"/>
        <w:ind w:firstLine="420" w:firstLineChars="200"/>
        <w:rPr>
          <w:rFonts w:hint="eastAsia"/>
          <w:color w:val="auto"/>
          <w:sz w:val="21"/>
          <w:szCs w:val="21"/>
        </w:rPr>
      </w:pPr>
    </w:p>
    <w:p w14:paraId="7611986D">
      <w:pPr>
        <w:spacing w:line="400" w:lineRule="exact"/>
        <w:ind w:firstLine="420" w:firstLineChars="200"/>
        <w:rPr>
          <w:rFonts w:hint="eastAsia"/>
          <w:color w:val="auto"/>
          <w:sz w:val="21"/>
          <w:szCs w:val="21"/>
        </w:rPr>
      </w:pPr>
    </w:p>
    <w:p w14:paraId="3FA73CCD">
      <w:pPr>
        <w:spacing w:line="400" w:lineRule="exact"/>
        <w:ind w:firstLine="420" w:firstLineChars="200"/>
        <w:rPr>
          <w:rFonts w:hint="eastAsia"/>
          <w:color w:val="auto"/>
          <w:sz w:val="21"/>
          <w:szCs w:val="21"/>
        </w:rPr>
      </w:pPr>
    </w:p>
    <w:p w14:paraId="136EED78">
      <w:pPr>
        <w:spacing w:line="400" w:lineRule="exact"/>
        <w:ind w:firstLine="420" w:firstLineChars="200"/>
        <w:rPr>
          <w:rFonts w:hint="eastAsia"/>
          <w:color w:val="auto"/>
          <w:sz w:val="21"/>
          <w:szCs w:val="21"/>
        </w:rPr>
      </w:pPr>
    </w:p>
    <w:p w14:paraId="12F32E7A">
      <w:pPr>
        <w:spacing w:line="400" w:lineRule="exact"/>
        <w:ind w:firstLine="420" w:firstLineChars="200"/>
        <w:rPr>
          <w:rFonts w:hint="eastAsia"/>
          <w:color w:val="auto"/>
          <w:sz w:val="21"/>
          <w:szCs w:val="21"/>
        </w:rPr>
      </w:pPr>
    </w:p>
    <w:p w14:paraId="6F6EAB6F">
      <w:pPr>
        <w:spacing w:line="400" w:lineRule="exact"/>
        <w:ind w:firstLine="420" w:firstLineChars="200"/>
        <w:rPr>
          <w:rFonts w:hint="eastAsia"/>
          <w:color w:val="auto"/>
          <w:sz w:val="21"/>
          <w:szCs w:val="21"/>
        </w:rPr>
      </w:pPr>
    </w:p>
    <w:p w14:paraId="3A777C7B">
      <w:pPr>
        <w:spacing w:line="400" w:lineRule="exact"/>
        <w:ind w:firstLine="420" w:firstLineChars="200"/>
        <w:rPr>
          <w:rFonts w:hint="eastAsia"/>
          <w:color w:val="auto"/>
          <w:sz w:val="21"/>
          <w:szCs w:val="21"/>
        </w:rPr>
      </w:pPr>
    </w:p>
    <w:p w14:paraId="2F72D833">
      <w:pPr>
        <w:spacing w:line="400" w:lineRule="exact"/>
        <w:ind w:firstLine="420" w:firstLineChars="200"/>
        <w:rPr>
          <w:rFonts w:hint="eastAsia"/>
          <w:color w:val="auto"/>
          <w:sz w:val="21"/>
          <w:szCs w:val="21"/>
        </w:rPr>
      </w:pPr>
    </w:p>
    <w:p w14:paraId="07909529">
      <w:pPr>
        <w:spacing w:line="400" w:lineRule="exact"/>
        <w:ind w:firstLine="420" w:firstLineChars="200"/>
        <w:rPr>
          <w:rFonts w:hint="eastAsia"/>
          <w:color w:val="auto"/>
          <w:sz w:val="21"/>
          <w:szCs w:val="21"/>
        </w:rPr>
      </w:pPr>
    </w:p>
    <w:p w14:paraId="4A352445">
      <w:pPr>
        <w:spacing w:line="400" w:lineRule="exact"/>
        <w:ind w:firstLine="420" w:firstLineChars="200"/>
        <w:rPr>
          <w:rFonts w:hint="eastAsia"/>
          <w:color w:val="auto"/>
          <w:sz w:val="21"/>
          <w:szCs w:val="21"/>
        </w:rPr>
      </w:pPr>
    </w:p>
    <w:p w14:paraId="39C464BD">
      <w:pPr>
        <w:spacing w:line="400" w:lineRule="exact"/>
        <w:ind w:firstLine="420" w:firstLineChars="200"/>
        <w:rPr>
          <w:rFonts w:hint="eastAsia"/>
          <w:color w:val="auto"/>
          <w:sz w:val="21"/>
          <w:szCs w:val="21"/>
        </w:rPr>
      </w:pPr>
    </w:p>
    <w:p w14:paraId="18FB10EB">
      <w:pPr>
        <w:spacing w:line="400" w:lineRule="exact"/>
        <w:ind w:firstLine="420" w:firstLineChars="200"/>
        <w:rPr>
          <w:rFonts w:hint="eastAsia"/>
          <w:color w:val="auto"/>
          <w:sz w:val="21"/>
          <w:szCs w:val="21"/>
        </w:rPr>
      </w:pPr>
    </w:p>
    <w:p w14:paraId="54879175">
      <w:pPr>
        <w:spacing w:line="400" w:lineRule="exact"/>
        <w:ind w:firstLine="420" w:firstLineChars="200"/>
        <w:rPr>
          <w:rFonts w:hint="eastAsia"/>
          <w:color w:val="auto"/>
          <w:sz w:val="21"/>
          <w:szCs w:val="21"/>
        </w:rPr>
      </w:pPr>
    </w:p>
    <w:p w14:paraId="2F26111C">
      <w:pPr>
        <w:spacing w:line="400" w:lineRule="exact"/>
        <w:ind w:firstLine="420" w:firstLineChars="200"/>
        <w:rPr>
          <w:rFonts w:hint="eastAsia"/>
          <w:color w:val="auto"/>
          <w:sz w:val="21"/>
          <w:szCs w:val="21"/>
        </w:rPr>
      </w:pPr>
    </w:p>
    <w:p w14:paraId="3318859B">
      <w:pPr>
        <w:spacing w:line="400" w:lineRule="exact"/>
        <w:ind w:firstLine="420" w:firstLineChars="200"/>
        <w:rPr>
          <w:rFonts w:hint="eastAsia"/>
          <w:color w:val="auto"/>
          <w:sz w:val="21"/>
          <w:szCs w:val="21"/>
        </w:rPr>
      </w:pPr>
    </w:p>
    <w:p w14:paraId="3A662FA0">
      <w:pPr>
        <w:spacing w:line="400" w:lineRule="exact"/>
        <w:ind w:firstLine="420" w:firstLineChars="200"/>
        <w:rPr>
          <w:rFonts w:hint="eastAsia"/>
          <w:color w:val="auto"/>
          <w:sz w:val="21"/>
          <w:szCs w:val="21"/>
        </w:rPr>
      </w:pPr>
    </w:p>
    <w:p w14:paraId="4DBA539C">
      <w:pPr>
        <w:spacing w:line="400" w:lineRule="exact"/>
        <w:ind w:firstLine="420" w:firstLineChars="200"/>
        <w:rPr>
          <w:rFonts w:hint="eastAsia"/>
          <w:color w:val="auto"/>
          <w:sz w:val="21"/>
          <w:szCs w:val="21"/>
        </w:rPr>
      </w:pPr>
    </w:p>
    <w:p w14:paraId="6F16FAD7">
      <w:pPr>
        <w:spacing w:line="400" w:lineRule="exact"/>
        <w:ind w:firstLine="420" w:firstLineChars="200"/>
        <w:rPr>
          <w:rFonts w:hint="eastAsia"/>
          <w:color w:val="auto"/>
          <w:sz w:val="21"/>
          <w:szCs w:val="21"/>
        </w:rPr>
      </w:pPr>
    </w:p>
    <w:p w14:paraId="3D57934F">
      <w:pPr>
        <w:spacing w:line="400" w:lineRule="exact"/>
        <w:ind w:firstLine="420" w:firstLineChars="200"/>
        <w:rPr>
          <w:rFonts w:hint="eastAsia"/>
          <w:color w:val="auto"/>
          <w:sz w:val="21"/>
          <w:szCs w:val="21"/>
        </w:rPr>
      </w:pPr>
    </w:p>
    <w:p w14:paraId="0672DD1D">
      <w:pPr>
        <w:spacing w:line="400" w:lineRule="exact"/>
        <w:ind w:firstLine="420" w:firstLineChars="200"/>
        <w:rPr>
          <w:rFonts w:hint="eastAsia"/>
          <w:color w:val="auto"/>
          <w:sz w:val="21"/>
          <w:szCs w:val="21"/>
        </w:rPr>
      </w:pPr>
    </w:p>
    <w:p w14:paraId="504B99F6">
      <w:pPr>
        <w:spacing w:line="400" w:lineRule="exact"/>
        <w:ind w:firstLine="420" w:firstLineChars="200"/>
        <w:rPr>
          <w:rFonts w:hint="eastAsia"/>
          <w:color w:val="auto"/>
          <w:sz w:val="21"/>
          <w:szCs w:val="21"/>
        </w:rPr>
      </w:pPr>
    </w:p>
    <w:p w14:paraId="1C9F3DE0">
      <w:pPr>
        <w:spacing w:line="400" w:lineRule="exact"/>
        <w:ind w:firstLine="420" w:firstLineChars="200"/>
        <w:rPr>
          <w:rFonts w:hint="eastAsia"/>
          <w:color w:val="auto"/>
          <w:sz w:val="21"/>
          <w:szCs w:val="21"/>
        </w:rPr>
      </w:pPr>
    </w:p>
    <w:p w14:paraId="0FB732B4">
      <w:pPr>
        <w:spacing w:line="400" w:lineRule="exact"/>
        <w:ind w:firstLine="420" w:firstLineChars="200"/>
        <w:rPr>
          <w:rFonts w:hint="eastAsia"/>
          <w:color w:val="auto"/>
          <w:sz w:val="21"/>
          <w:szCs w:val="21"/>
        </w:rPr>
      </w:pPr>
    </w:p>
    <w:p w14:paraId="4AE4458B">
      <w:pPr>
        <w:spacing w:line="400" w:lineRule="exact"/>
        <w:ind w:firstLine="420" w:firstLineChars="200"/>
        <w:rPr>
          <w:rFonts w:hint="eastAsia"/>
          <w:color w:val="auto"/>
          <w:sz w:val="21"/>
          <w:szCs w:val="21"/>
        </w:rPr>
      </w:pPr>
    </w:p>
    <w:p w14:paraId="0A901D33">
      <w:pPr>
        <w:pStyle w:val="35"/>
        <w:adjustRightInd w:val="0"/>
        <w:spacing w:before="160" w:after="160"/>
        <w:ind w:left="0" w:leftChars="0" w:firstLine="0" w:firstLineChars="0"/>
        <w:contextualSpacing/>
        <w:rPr>
          <w:rFonts w:hint="eastAsia" w:ascii="仿宋_GB2312" w:hAnsi="仿宋_GB2312" w:eastAsia="仿宋_GB2312" w:cs="仿宋_GB2312"/>
          <w:b/>
          <w:sz w:val="32"/>
        </w:rPr>
      </w:pPr>
      <w:r>
        <w:rPr>
          <w:rFonts w:hint="eastAsia" w:ascii="仿宋_GB2312" w:hAnsi="仿宋_GB2312" w:eastAsia="仿宋_GB2312" w:cs="仿宋_GB2312"/>
          <w:b/>
          <w:sz w:val="32"/>
        </w:rPr>
        <w:t>附件</w:t>
      </w:r>
      <w:r>
        <w:rPr>
          <w:rFonts w:hint="eastAsia" w:ascii="仿宋_GB2312" w:hAnsi="仿宋_GB2312" w:eastAsia="仿宋_GB2312" w:cs="仿宋_GB2312"/>
          <w:b/>
          <w:sz w:val="32"/>
          <w:lang w:val="en-US" w:eastAsia="zh-CN"/>
        </w:rPr>
        <w:t>1</w:t>
      </w:r>
      <w:r>
        <w:rPr>
          <w:rFonts w:hint="eastAsia" w:ascii="仿宋_GB2312" w:hAnsi="仿宋_GB2312" w:eastAsia="仿宋_GB2312" w:cs="仿宋_GB2312"/>
          <w:b/>
          <w:sz w:val="32"/>
        </w:rPr>
        <w:t>：</w:t>
      </w:r>
    </w:p>
    <w:p w14:paraId="3546182C">
      <w:pPr>
        <w:pStyle w:val="35"/>
        <w:adjustRightInd w:val="0"/>
        <w:spacing w:before="160" w:after="160" w:line="720" w:lineRule="auto"/>
        <w:ind w:firstLine="640"/>
        <w:contextualSpacing/>
        <w:jc w:val="center"/>
        <w:rPr>
          <w:rFonts w:hint="eastAsia" w:ascii="仿宋_GB2312" w:hAnsi="仿宋_GB2312" w:eastAsia="仿宋_GB2312" w:cs="仿宋_GB2312"/>
          <w:b/>
          <w:bCs/>
          <w:sz w:val="32"/>
          <w:u w:val="single"/>
        </w:rPr>
      </w:pPr>
      <w:r>
        <w:rPr>
          <w:rFonts w:hint="eastAsia" w:ascii="仿宋_GB2312" w:hAnsi="仿宋_GB2312" w:eastAsia="仿宋_GB2312" w:cs="仿宋_GB2312"/>
          <w:b/>
          <w:bCs/>
          <w:sz w:val="32"/>
        </w:rPr>
        <w:t>企业信用承诺书</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9"/>
        <w:gridCol w:w="2345"/>
        <w:gridCol w:w="2074"/>
        <w:gridCol w:w="2074"/>
      </w:tblGrid>
      <w:tr w14:paraId="524C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9" w:type="dxa"/>
            <w:vAlign w:val="center"/>
          </w:tcPr>
          <w:p w14:paraId="5F9CE325">
            <w:pPr>
              <w:adjustRightInd w:val="0"/>
              <w:spacing w:line="360" w:lineRule="exact"/>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单位名称</w:t>
            </w:r>
          </w:p>
        </w:tc>
        <w:tc>
          <w:tcPr>
            <w:tcW w:w="2345" w:type="dxa"/>
            <w:vAlign w:val="center"/>
          </w:tcPr>
          <w:p w14:paraId="7F6EC072">
            <w:pPr>
              <w:pStyle w:val="35"/>
              <w:adjustRightInd w:val="0"/>
              <w:spacing w:line="360" w:lineRule="exact"/>
              <w:ind w:firstLine="560"/>
              <w:contextualSpacing/>
              <w:jc w:val="center"/>
              <w:rPr>
                <w:rFonts w:hint="eastAsia" w:ascii="仿宋_GB2312" w:hAnsi="仿宋_GB2312" w:eastAsia="仿宋_GB2312" w:cs="仿宋_GB2312"/>
                <w:sz w:val="28"/>
              </w:rPr>
            </w:pPr>
          </w:p>
        </w:tc>
        <w:tc>
          <w:tcPr>
            <w:tcW w:w="2074" w:type="dxa"/>
            <w:vAlign w:val="center"/>
          </w:tcPr>
          <w:p w14:paraId="44BC4899">
            <w:pPr>
              <w:pStyle w:val="35"/>
              <w:adjustRightInd w:val="0"/>
              <w:spacing w:line="360" w:lineRule="exact"/>
              <w:ind w:left="0" w:leftChars="0" w:firstLine="0" w:firstLineChars="0"/>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统一社会信用代码</w:t>
            </w:r>
          </w:p>
        </w:tc>
        <w:tc>
          <w:tcPr>
            <w:tcW w:w="2074" w:type="dxa"/>
            <w:vAlign w:val="center"/>
          </w:tcPr>
          <w:p w14:paraId="13CE3B1E">
            <w:pPr>
              <w:pStyle w:val="35"/>
              <w:adjustRightInd w:val="0"/>
              <w:spacing w:line="360" w:lineRule="exact"/>
              <w:ind w:firstLine="560"/>
              <w:contextualSpacing/>
              <w:jc w:val="center"/>
              <w:rPr>
                <w:rFonts w:hint="eastAsia" w:ascii="仿宋_GB2312" w:hAnsi="仿宋_GB2312" w:eastAsia="仿宋_GB2312" w:cs="仿宋_GB2312"/>
                <w:sz w:val="28"/>
              </w:rPr>
            </w:pPr>
          </w:p>
        </w:tc>
      </w:tr>
      <w:tr w14:paraId="599C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9" w:type="dxa"/>
            <w:vAlign w:val="center"/>
          </w:tcPr>
          <w:p w14:paraId="3706065B">
            <w:pPr>
              <w:pStyle w:val="35"/>
              <w:adjustRightInd w:val="0"/>
              <w:spacing w:line="360" w:lineRule="exact"/>
              <w:ind w:left="0" w:leftChars="0" w:firstLine="0" w:firstLineChars="0"/>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法定代表人</w:t>
            </w:r>
          </w:p>
        </w:tc>
        <w:tc>
          <w:tcPr>
            <w:tcW w:w="2345" w:type="dxa"/>
            <w:vAlign w:val="center"/>
          </w:tcPr>
          <w:p w14:paraId="66254F91">
            <w:pPr>
              <w:pStyle w:val="35"/>
              <w:adjustRightInd w:val="0"/>
              <w:spacing w:line="360" w:lineRule="exact"/>
              <w:ind w:firstLine="560"/>
              <w:contextualSpacing/>
              <w:jc w:val="center"/>
              <w:rPr>
                <w:rFonts w:hint="eastAsia" w:ascii="仿宋_GB2312" w:hAnsi="仿宋_GB2312" w:eastAsia="仿宋_GB2312" w:cs="仿宋_GB2312"/>
                <w:sz w:val="28"/>
              </w:rPr>
            </w:pPr>
          </w:p>
          <w:p w14:paraId="626745CA">
            <w:pPr>
              <w:pStyle w:val="35"/>
              <w:adjustRightInd w:val="0"/>
              <w:spacing w:line="360" w:lineRule="exact"/>
              <w:ind w:firstLine="560"/>
              <w:contextualSpacing/>
              <w:jc w:val="center"/>
              <w:rPr>
                <w:rFonts w:hint="eastAsia" w:ascii="仿宋_GB2312" w:hAnsi="仿宋_GB2312" w:eastAsia="仿宋_GB2312" w:cs="仿宋_GB2312"/>
                <w:sz w:val="28"/>
              </w:rPr>
            </w:pPr>
          </w:p>
        </w:tc>
        <w:tc>
          <w:tcPr>
            <w:tcW w:w="2074" w:type="dxa"/>
            <w:vAlign w:val="center"/>
          </w:tcPr>
          <w:p w14:paraId="7D7829D4">
            <w:pPr>
              <w:adjustRightInd w:val="0"/>
              <w:spacing w:line="360" w:lineRule="exact"/>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联系人</w:t>
            </w:r>
          </w:p>
        </w:tc>
        <w:tc>
          <w:tcPr>
            <w:tcW w:w="2074" w:type="dxa"/>
            <w:vAlign w:val="center"/>
          </w:tcPr>
          <w:p w14:paraId="5A6A3620">
            <w:pPr>
              <w:pStyle w:val="35"/>
              <w:adjustRightInd w:val="0"/>
              <w:spacing w:line="360" w:lineRule="exact"/>
              <w:ind w:firstLine="560"/>
              <w:contextualSpacing/>
              <w:jc w:val="center"/>
              <w:rPr>
                <w:rFonts w:hint="eastAsia" w:ascii="仿宋_GB2312" w:hAnsi="仿宋_GB2312" w:eastAsia="仿宋_GB2312" w:cs="仿宋_GB2312"/>
                <w:sz w:val="28"/>
              </w:rPr>
            </w:pPr>
          </w:p>
        </w:tc>
      </w:tr>
      <w:tr w14:paraId="0D75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9" w:type="dxa"/>
            <w:vAlign w:val="center"/>
          </w:tcPr>
          <w:p w14:paraId="36FF5877">
            <w:pPr>
              <w:adjustRightInd w:val="0"/>
              <w:spacing w:line="360" w:lineRule="exact"/>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联系地址</w:t>
            </w:r>
          </w:p>
        </w:tc>
        <w:tc>
          <w:tcPr>
            <w:tcW w:w="2345" w:type="dxa"/>
            <w:vAlign w:val="center"/>
          </w:tcPr>
          <w:p w14:paraId="6CDEC5E3">
            <w:pPr>
              <w:pStyle w:val="35"/>
              <w:adjustRightInd w:val="0"/>
              <w:spacing w:line="360" w:lineRule="exact"/>
              <w:ind w:firstLine="560"/>
              <w:contextualSpacing/>
              <w:jc w:val="center"/>
              <w:rPr>
                <w:rFonts w:hint="eastAsia" w:ascii="仿宋_GB2312" w:hAnsi="仿宋_GB2312" w:eastAsia="仿宋_GB2312" w:cs="仿宋_GB2312"/>
                <w:sz w:val="28"/>
              </w:rPr>
            </w:pPr>
          </w:p>
          <w:p w14:paraId="3CC64E28">
            <w:pPr>
              <w:pStyle w:val="35"/>
              <w:adjustRightInd w:val="0"/>
              <w:spacing w:line="360" w:lineRule="exact"/>
              <w:ind w:firstLine="560"/>
              <w:contextualSpacing/>
              <w:jc w:val="center"/>
              <w:rPr>
                <w:rFonts w:hint="eastAsia" w:ascii="仿宋_GB2312" w:hAnsi="仿宋_GB2312" w:eastAsia="仿宋_GB2312" w:cs="仿宋_GB2312"/>
                <w:sz w:val="28"/>
              </w:rPr>
            </w:pPr>
          </w:p>
        </w:tc>
        <w:tc>
          <w:tcPr>
            <w:tcW w:w="2074" w:type="dxa"/>
            <w:vAlign w:val="center"/>
          </w:tcPr>
          <w:p w14:paraId="306056B0">
            <w:pPr>
              <w:adjustRightInd w:val="0"/>
              <w:spacing w:line="360" w:lineRule="exact"/>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联系电话</w:t>
            </w:r>
          </w:p>
        </w:tc>
        <w:tc>
          <w:tcPr>
            <w:tcW w:w="2074" w:type="dxa"/>
            <w:vAlign w:val="center"/>
          </w:tcPr>
          <w:p w14:paraId="515635EE">
            <w:pPr>
              <w:pStyle w:val="35"/>
              <w:adjustRightInd w:val="0"/>
              <w:spacing w:line="360" w:lineRule="exact"/>
              <w:ind w:firstLine="560"/>
              <w:contextualSpacing/>
              <w:jc w:val="center"/>
              <w:rPr>
                <w:rFonts w:hint="eastAsia" w:ascii="仿宋_GB2312" w:hAnsi="仿宋_GB2312" w:eastAsia="仿宋_GB2312" w:cs="仿宋_GB2312"/>
                <w:sz w:val="28"/>
              </w:rPr>
            </w:pPr>
          </w:p>
        </w:tc>
      </w:tr>
      <w:tr w14:paraId="6A74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9" w:type="dxa"/>
            <w:vAlign w:val="center"/>
          </w:tcPr>
          <w:p w14:paraId="6924148D">
            <w:pPr>
              <w:pStyle w:val="35"/>
              <w:adjustRightInd w:val="0"/>
              <w:spacing w:line="360" w:lineRule="exact"/>
              <w:ind w:left="0" w:leftChars="0" w:firstLine="0" w:firstLineChars="0"/>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诚信档案记录情况</w:t>
            </w:r>
          </w:p>
        </w:tc>
        <w:tc>
          <w:tcPr>
            <w:tcW w:w="6493" w:type="dxa"/>
            <w:gridSpan w:val="3"/>
            <w:vAlign w:val="center"/>
          </w:tcPr>
          <w:p w14:paraId="13EC303B">
            <w:pPr>
              <w:pStyle w:val="35"/>
              <w:adjustRightInd w:val="0"/>
              <w:spacing w:line="360" w:lineRule="exact"/>
              <w:ind w:firstLine="560"/>
              <w:contextualSpacing/>
              <w:jc w:val="center"/>
              <w:rPr>
                <w:rFonts w:hint="eastAsia" w:ascii="仿宋_GB2312" w:hAnsi="仿宋_GB2312" w:eastAsia="仿宋_GB2312" w:cs="仿宋_GB2312"/>
                <w:sz w:val="28"/>
              </w:rPr>
            </w:pPr>
          </w:p>
          <w:p w14:paraId="21225131">
            <w:pPr>
              <w:pStyle w:val="35"/>
              <w:adjustRightInd w:val="0"/>
              <w:spacing w:line="360" w:lineRule="exact"/>
              <w:ind w:firstLine="560"/>
              <w:contextualSpacing/>
              <w:jc w:val="center"/>
              <w:rPr>
                <w:rFonts w:hint="eastAsia" w:ascii="仿宋_GB2312" w:hAnsi="仿宋_GB2312" w:eastAsia="仿宋_GB2312" w:cs="仿宋_GB2312"/>
                <w:sz w:val="28"/>
              </w:rPr>
            </w:pPr>
          </w:p>
          <w:p w14:paraId="3BDD68FC">
            <w:pPr>
              <w:pStyle w:val="35"/>
              <w:adjustRightInd w:val="0"/>
              <w:spacing w:line="360" w:lineRule="exact"/>
              <w:ind w:firstLine="560"/>
              <w:contextualSpacing/>
              <w:jc w:val="center"/>
              <w:rPr>
                <w:rFonts w:hint="eastAsia" w:ascii="仿宋_GB2312" w:hAnsi="仿宋_GB2312" w:eastAsia="仿宋_GB2312" w:cs="仿宋_GB2312"/>
                <w:sz w:val="28"/>
              </w:rPr>
            </w:pPr>
          </w:p>
          <w:p w14:paraId="508246AB">
            <w:pPr>
              <w:pStyle w:val="35"/>
              <w:adjustRightInd w:val="0"/>
              <w:spacing w:line="360" w:lineRule="exact"/>
              <w:ind w:firstLine="560"/>
              <w:contextualSpacing/>
              <w:jc w:val="center"/>
              <w:rPr>
                <w:rFonts w:hint="eastAsia" w:ascii="仿宋_GB2312" w:hAnsi="仿宋_GB2312" w:eastAsia="仿宋_GB2312" w:cs="仿宋_GB2312"/>
                <w:sz w:val="28"/>
              </w:rPr>
            </w:pPr>
          </w:p>
        </w:tc>
      </w:tr>
      <w:tr w14:paraId="1B2A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9" w:type="dxa"/>
            <w:vAlign w:val="center"/>
          </w:tcPr>
          <w:p w14:paraId="6FFD59B6">
            <w:pPr>
              <w:adjustRightInd w:val="0"/>
              <w:spacing w:line="360" w:lineRule="exact"/>
              <w:ind w:firstLine="281" w:firstLineChars="100"/>
              <w:contextualSpacing/>
              <w:rPr>
                <w:rFonts w:hint="eastAsia" w:ascii="仿宋_GB2312" w:hAnsi="仿宋_GB2312" w:eastAsia="仿宋_GB2312" w:cs="仿宋_GB2312"/>
                <w:b/>
                <w:sz w:val="28"/>
              </w:rPr>
            </w:pPr>
            <w:r>
              <w:rPr>
                <w:rFonts w:hint="eastAsia" w:ascii="仿宋_GB2312" w:hAnsi="仿宋_GB2312" w:eastAsia="仿宋_GB2312" w:cs="仿宋_GB2312"/>
                <w:b/>
                <w:sz w:val="28"/>
              </w:rPr>
              <w:t>信用承诺</w:t>
            </w:r>
          </w:p>
        </w:tc>
        <w:tc>
          <w:tcPr>
            <w:tcW w:w="6493" w:type="dxa"/>
            <w:gridSpan w:val="3"/>
            <w:vAlign w:val="center"/>
          </w:tcPr>
          <w:p w14:paraId="13AC8C17">
            <w:pPr>
              <w:pStyle w:val="35"/>
              <w:adjustRightInd w:val="0"/>
              <w:spacing w:line="360" w:lineRule="exact"/>
              <w:ind w:left="0" w:leftChars="0" w:firstLine="560" w:firstLineChars="200"/>
              <w:contextualSpacing/>
              <w:rPr>
                <w:rFonts w:hint="eastAsia" w:ascii="仿宋_GB2312" w:hAnsi="仿宋_GB2312" w:eastAsia="仿宋_GB2312" w:cs="仿宋_GB2312"/>
                <w:sz w:val="28"/>
              </w:rPr>
            </w:pPr>
            <w:r>
              <w:rPr>
                <w:rFonts w:hint="eastAsia" w:ascii="仿宋_GB2312" w:hAnsi="仿宋_GB2312" w:eastAsia="仿宋_GB2312" w:cs="仿宋_GB2312"/>
                <w:sz w:val="28"/>
              </w:rPr>
              <w:t>我公司自愿参加贵院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原承担一切法律责任，接受各级政府采购监管部门和有权机关的审查和处罚。</w:t>
            </w:r>
          </w:p>
          <w:p w14:paraId="1DC4513B">
            <w:pPr>
              <w:pStyle w:val="35"/>
              <w:adjustRightInd w:val="0"/>
              <w:spacing w:line="360" w:lineRule="exact"/>
              <w:ind w:firstLine="560"/>
              <w:contextualSpacing/>
              <w:rPr>
                <w:rFonts w:hint="eastAsia" w:ascii="仿宋_GB2312" w:hAnsi="仿宋_GB2312" w:eastAsia="仿宋_GB2312" w:cs="仿宋_GB2312"/>
                <w:sz w:val="28"/>
              </w:rPr>
            </w:pPr>
          </w:p>
          <w:p w14:paraId="2817151C">
            <w:pPr>
              <w:pStyle w:val="35"/>
              <w:adjustRightInd w:val="0"/>
              <w:spacing w:line="360" w:lineRule="exact"/>
              <w:ind w:firstLine="560"/>
              <w:contextualSpacing/>
              <w:rPr>
                <w:rFonts w:hint="eastAsia" w:ascii="仿宋_GB2312" w:hAnsi="仿宋_GB2312" w:eastAsia="仿宋_GB2312" w:cs="仿宋_GB2312"/>
                <w:sz w:val="28"/>
              </w:rPr>
            </w:pPr>
          </w:p>
          <w:p w14:paraId="69C1C5D9">
            <w:pPr>
              <w:adjustRightInd w:val="0"/>
              <w:spacing w:line="480" w:lineRule="auto"/>
              <w:ind w:firstLine="280" w:firstLineChars="100"/>
              <w:contextualSpacing/>
              <w:rPr>
                <w:rFonts w:hint="eastAsia" w:ascii="仿宋_GB2312" w:hAnsi="仿宋_GB2312" w:eastAsia="仿宋_GB2312" w:cs="仿宋_GB2312"/>
                <w:sz w:val="28"/>
              </w:rPr>
            </w:pPr>
            <w:r>
              <w:rPr>
                <w:rFonts w:hint="eastAsia" w:ascii="仿宋_GB2312" w:hAnsi="仿宋_GB2312" w:eastAsia="仿宋_GB2312" w:cs="仿宋_GB2312"/>
                <w:sz w:val="28"/>
              </w:rPr>
              <w:t>企业名称（盖章）：</w:t>
            </w:r>
          </w:p>
          <w:p w14:paraId="16EFDBC6">
            <w:pPr>
              <w:adjustRightInd w:val="0"/>
              <w:spacing w:line="480" w:lineRule="auto"/>
              <w:ind w:firstLine="280" w:firstLineChars="100"/>
              <w:contextualSpacing/>
              <w:rPr>
                <w:rFonts w:hint="eastAsia" w:ascii="仿宋_GB2312" w:hAnsi="仿宋_GB2312" w:eastAsia="仿宋_GB2312" w:cs="仿宋_GB2312"/>
                <w:sz w:val="28"/>
              </w:rPr>
            </w:pPr>
            <w:r>
              <w:rPr>
                <w:rFonts w:hint="eastAsia" w:ascii="仿宋_GB2312" w:hAnsi="仿宋_GB2312" w:eastAsia="仿宋_GB2312" w:cs="仿宋_GB2312"/>
                <w:sz w:val="28"/>
              </w:rPr>
              <w:t>法定代表人（签字）：</w:t>
            </w:r>
          </w:p>
          <w:p w14:paraId="0B39E86D">
            <w:pPr>
              <w:adjustRightInd w:val="0"/>
              <w:spacing w:line="480" w:lineRule="auto"/>
              <w:ind w:firstLine="2520" w:firstLineChars="900"/>
              <w:contextualSpacing/>
              <w:rPr>
                <w:rFonts w:hint="eastAsia" w:ascii="仿宋_GB2312" w:hAnsi="仿宋_GB2312" w:eastAsia="仿宋_GB2312" w:cs="仿宋_GB2312"/>
                <w:sz w:val="28"/>
              </w:rPr>
            </w:pPr>
            <w:r>
              <w:rPr>
                <w:rFonts w:hint="eastAsia" w:ascii="仿宋_GB2312" w:hAnsi="仿宋_GB2312" w:eastAsia="仿宋_GB2312" w:cs="仿宋_GB2312"/>
                <w:sz w:val="28"/>
              </w:rPr>
              <w:t>二〇   年   月   日</w:t>
            </w:r>
          </w:p>
        </w:tc>
      </w:tr>
    </w:tbl>
    <w:p w14:paraId="6F5CF06F">
      <w:pPr>
        <w:widowControl/>
        <w:jc w:val="left"/>
        <w:rPr>
          <w:rFonts w:hint="eastAsia" w:ascii="仿宋_GB2312" w:hAnsi="仿宋_GB2312" w:eastAsia="仿宋_GB2312" w:cs="仿宋_GB2312"/>
        </w:rPr>
      </w:pPr>
    </w:p>
    <w:p w14:paraId="1275C724">
      <w:pPr>
        <w:pStyle w:val="35"/>
        <w:adjustRightInd w:val="0"/>
        <w:spacing w:before="160" w:after="160"/>
        <w:ind w:left="0" w:leftChars="0" w:firstLine="0" w:firstLineChars="0"/>
        <w:contextualSpacing/>
        <w:rPr>
          <w:rFonts w:hint="eastAsia" w:ascii="仿宋_GB2312" w:hAnsi="仿宋_GB2312" w:eastAsia="仿宋_GB2312" w:cs="仿宋_GB2312"/>
          <w:b/>
          <w:sz w:val="32"/>
        </w:rPr>
      </w:pPr>
      <w:r>
        <w:rPr>
          <w:rFonts w:hint="eastAsia" w:ascii="仿宋_GB2312" w:hAnsi="仿宋_GB2312" w:eastAsia="仿宋_GB2312" w:cs="仿宋_GB2312"/>
          <w:b/>
          <w:sz w:val="32"/>
        </w:rPr>
        <w:t>附件</w:t>
      </w:r>
      <w:r>
        <w:rPr>
          <w:rFonts w:hint="eastAsia" w:ascii="仿宋_GB2312" w:hAnsi="仿宋_GB2312" w:eastAsia="仿宋_GB2312" w:cs="仿宋_GB2312"/>
          <w:b/>
          <w:sz w:val="32"/>
          <w:lang w:val="en-US" w:eastAsia="zh-CN"/>
        </w:rPr>
        <w:t>2</w:t>
      </w:r>
      <w:r>
        <w:rPr>
          <w:rFonts w:hint="eastAsia" w:ascii="仿宋_GB2312" w:hAnsi="仿宋_GB2312" w:eastAsia="仿宋_GB2312" w:cs="仿宋_GB2312"/>
          <w:b/>
          <w:sz w:val="32"/>
        </w:rPr>
        <w:t>：</w:t>
      </w:r>
      <w:r>
        <w:rPr>
          <w:rFonts w:hint="eastAsia" w:ascii="仿宋_GB2312" w:hAnsi="仿宋_GB2312" w:eastAsia="仿宋_GB2312" w:cs="仿宋_GB2312"/>
          <w:b/>
          <w:sz w:val="32"/>
          <w:lang w:val="en-US" w:eastAsia="zh-CN"/>
        </w:rPr>
        <w:t>论证</w:t>
      </w:r>
      <w:r>
        <w:rPr>
          <w:rFonts w:hint="eastAsia" w:ascii="仿宋_GB2312" w:hAnsi="仿宋_GB2312" w:eastAsia="仿宋_GB2312" w:cs="仿宋_GB2312"/>
          <w:b/>
          <w:sz w:val="32"/>
        </w:rPr>
        <w:t>材料真实性及购销廉洁声明</w:t>
      </w:r>
    </w:p>
    <w:p w14:paraId="1D4F015C">
      <w:pPr>
        <w:pStyle w:val="35"/>
        <w:adjustRightInd w:val="0"/>
        <w:spacing w:before="160" w:after="160"/>
        <w:ind w:firstLine="0" w:firstLineChars="0"/>
        <w:contextualSpacing/>
        <w:rPr>
          <w:rFonts w:hint="eastAsia" w:ascii="仿宋_GB2312" w:hAnsi="仿宋_GB2312" w:eastAsia="仿宋_GB2312" w:cs="仿宋_GB2312"/>
          <w:bCs/>
          <w:szCs w:val="21"/>
        </w:rPr>
      </w:pPr>
    </w:p>
    <w:p w14:paraId="17E6C9E2">
      <w:pPr>
        <w:pStyle w:val="35"/>
        <w:adjustRightInd w:val="0"/>
        <w:spacing w:before="160" w:after="160"/>
        <w:ind w:left="0" w:leftChars="0" w:firstLine="0" w:firstLineChars="0"/>
        <w:contextualSpacing/>
        <w:jc w:val="center"/>
        <w:rPr>
          <w:rFonts w:hint="eastAsia" w:ascii="仿宋_GB2312" w:hAnsi="仿宋_GB2312" w:eastAsia="仿宋_GB2312" w:cs="仿宋_GB2312"/>
          <w:b/>
          <w:sz w:val="32"/>
        </w:rPr>
      </w:pPr>
      <w:r>
        <w:rPr>
          <w:rFonts w:hint="eastAsia" w:ascii="仿宋_GB2312" w:hAnsi="仿宋_GB2312" w:eastAsia="仿宋_GB2312" w:cs="仿宋_GB2312"/>
          <w:b/>
          <w:sz w:val="32"/>
        </w:rPr>
        <w:t>承诺书</w:t>
      </w:r>
    </w:p>
    <w:p w14:paraId="34D3737F">
      <w:pPr>
        <w:pStyle w:val="35"/>
        <w:keepNext w:val="0"/>
        <w:keepLines w:val="0"/>
        <w:pageBreakBefore w:val="0"/>
        <w:widowControl w:val="0"/>
        <w:kinsoku/>
        <w:wordWrap/>
        <w:overflowPunct/>
        <w:topLinePunct w:val="0"/>
        <w:autoSpaceDE/>
        <w:autoSpaceDN/>
        <w:bidi w:val="0"/>
        <w:adjustRightInd w:val="0"/>
        <w:snapToGrid/>
        <w:spacing w:line="480" w:lineRule="exact"/>
        <w:ind w:firstLine="0" w:firstLineChars="0"/>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highlight w:val="none"/>
          <w:lang w:val="en-US" w:eastAsia="zh-CN"/>
        </w:rPr>
        <w:t>南京大学医学院附属苏州医院</w:t>
      </w:r>
      <w:r>
        <w:rPr>
          <w:rFonts w:hint="eastAsia" w:ascii="仿宋_GB2312" w:hAnsi="仿宋_GB2312" w:eastAsia="仿宋_GB2312" w:cs="仿宋_GB2312"/>
          <w:bCs/>
          <w:sz w:val="24"/>
          <w:szCs w:val="24"/>
        </w:rPr>
        <w:t>：</w:t>
      </w:r>
    </w:p>
    <w:p w14:paraId="446DB93D">
      <w:pPr>
        <w:pStyle w:val="35"/>
        <w:keepNext w:val="0"/>
        <w:keepLines w:val="0"/>
        <w:pageBreakBefore w:val="0"/>
        <w:widowControl w:val="0"/>
        <w:kinsoku/>
        <w:wordWrap/>
        <w:overflowPunct/>
        <w:topLinePunct w:val="0"/>
        <w:autoSpaceDE/>
        <w:autoSpaceDN/>
        <w:bidi w:val="0"/>
        <w:adjustRightInd w:val="0"/>
        <w:snapToGrid/>
        <w:spacing w:line="480" w:lineRule="exact"/>
        <w:ind w:firstLine="480" w:firstLineChars="200"/>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针对贵院此次</w:t>
      </w:r>
      <w:r>
        <w:rPr>
          <w:rFonts w:hint="eastAsia" w:ascii="仿宋_GB2312" w:hAnsi="仿宋_GB2312" w:eastAsia="仿宋_GB2312" w:cs="仿宋_GB2312"/>
          <w:bCs/>
          <w:sz w:val="24"/>
          <w:szCs w:val="24"/>
          <w:lang w:val="en-US" w:eastAsia="zh-CN"/>
        </w:rPr>
        <w:t>论证</w:t>
      </w:r>
      <w:r>
        <w:rPr>
          <w:rFonts w:hint="eastAsia" w:ascii="仿宋_GB2312" w:hAnsi="仿宋_GB2312" w:eastAsia="仿宋_GB2312" w:cs="仿宋_GB2312"/>
          <w:bCs/>
          <w:sz w:val="24"/>
          <w:szCs w:val="24"/>
        </w:rPr>
        <w:t>，我公司郑重承诺：所提供资料（以骑缝章为准）真实有效，无任何虚假成分。如有虚假，由此产生的一切后果由本公司承担。</w:t>
      </w:r>
    </w:p>
    <w:p w14:paraId="6E6D0B15">
      <w:pPr>
        <w:pStyle w:val="35"/>
        <w:keepNext w:val="0"/>
        <w:keepLines w:val="0"/>
        <w:pageBreakBefore w:val="0"/>
        <w:widowControl w:val="0"/>
        <w:kinsoku/>
        <w:wordWrap/>
        <w:overflowPunct/>
        <w:topLinePunct w:val="0"/>
        <w:autoSpaceDE/>
        <w:autoSpaceDN/>
        <w:bidi w:val="0"/>
        <w:adjustRightInd w:val="0"/>
        <w:snapToGrid/>
        <w:spacing w:line="480" w:lineRule="exact"/>
        <w:ind w:firstLine="480" w:firstLineChars="200"/>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为进一步加强医疗卫生行风建设，规范医疗卫生机构医药销售行为，有效防范商业贿赂行为，营造公平交易、诚实守信的购销环境，我公司郑重承诺并遵守：</w:t>
      </w:r>
    </w:p>
    <w:p w14:paraId="51C4E4F1">
      <w:pPr>
        <w:pStyle w:val="35"/>
        <w:keepNext w:val="0"/>
        <w:keepLines w:val="0"/>
        <w:pageBreakBefore w:val="0"/>
        <w:widowControl w:val="0"/>
        <w:kinsoku/>
        <w:wordWrap/>
        <w:overflowPunct/>
        <w:topLinePunct w:val="0"/>
        <w:autoSpaceDE/>
        <w:autoSpaceDN/>
        <w:bidi w:val="0"/>
        <w:adjustRightInd w:val="0"/>
        <w:snapToGrid/>
        <w:spacing w:line="480" w:lineRule="exact"/>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一、我方按照《民法典》及本承诺购销医用耗材、试剂。</w:t>
      </w:r>
    </w:p>
    <w:p w14:paraId="2C141C53">
      <w:pPr>
        <w:pStyle w:val="35"/>
        <w:keepNext w:val="0"/>
        <w:keepLines w:val="0"/>
        <w:pageBreakBefore w:val="0"/>
        <w:widowControl w:val="0"/>
        <w:kinsoku/>
        <w:wordWrap/>
        <w:overflowPunct/>
        <w:topLinePunct w:val="0"/>
        <w:autoSpaceDE/>
        <w:autoSpaceDN/>
        <w:bidi w:val="0"/>
        <w:adjustRightInd w:val="0"/>
        <w:snapToGrid/>
        <w:spacing w:line="480" w:lineRule="exact"/>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二、我方不以回扣、宴请等方式影响医院工作人员采购或使用产品的选择权，不在学术活动中提供旅游、超标准支付食宿等费用。</w:t>
      </w:r>
    </w:p>
    <w:p w14:paraId="5F39D48D">
      <w:pPr>
        <w:pStyle w:val="35"/>
        <w:keepNext w:val="0"/>
        <w:keepLines w:val="0"/>
        <w:pageBreakBefore w:val="0"/>
        <w:widowControl w:val="0"/>
        <w:kinsoku/>
        <w:wordWrap/>
        <w:overflowPunct/>
        <w:topLinePunct w:val="0"/>
        <w:autoSpaceDE/>
        <w:autoSpaceDN/>
        <w:bidi w:val="0"/>
        <w:adjustRightInd w:val="0"/>
        <w:snapToGrid/>
        <w:spacing w:line="480" w:lineRule="exact"/>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三、我方指定销售代表承诺在工作时间到医院指定地点联系商谈，不到住院部、门诊部、医技科室等推销产品，不借故到医院相关领导、部门负责人及相关工作人员家中访谈并提供任何好处费等。</w:t>
      </w:r>
    </w:p>
    <w:p w14:paraId="0BB153BA">
      <w:pPr>
        <w:pStyle w:val="35"/>
        <w:keepNext w:val="0"/>
        <w:keepLines w:val="0"/>
        <w:pageBreakBefore w:val="0"/>
        <w:widowControl w:val="0"/>
        <w:kinsoku/>
        <w:wordWrap/>
        <w:overflowPunct/>
        <w:topLinePunct w:val="0"/>
        <w:autoSpaceDE/>
        <w:autoSpaceDN/>
        <w:bidi w:val="0"/>
        <w:adjustRightInd w:val="0"/>
        <w:snapToGrid/>
        <w:spacing w:line="480" w:lineRule="exact"/>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DD9719B">
      <w:pPr>
        <w:pStyle w:val="35"/>
        <w:keepNext w:val="0"/>
        <w:keepLines w:val="0"/>
        <w:pageBreakBefore w:val="0"/>
        <w:widowControl w:val="0"/>
        <w:kinsoku/>
        <w:wordWrap/>
        <w:overflowPunct/>
        <w:topLinePunct w:val="0"/>
        <w:autoSpaceDE/>
        <w:autoSpaceDN/>
        <w:bidi w:val="0"/>
        <w:adjustRightInd w:val="0"/>
        <w:snapToGrid/>
        <w:spacing w:line="480" w:lineRule="exact"/>
        <w:contextualSpacing/>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五、本承诺作为产品购销合同的重要组成部分，与购销合同一并执行，具有同等法律效力。</w:t>
      </w:r>
    </w:p>
    <w:p w14:paraId="340FC762">
      <w:pPr>
        <w:pStyle w:val="35"/>
        <w:keepNext w:val="0"/>
        <w:keepLines w:val="0"/>
        <w:pageBreakBefore w:val="0"/>
        <w:widowControl w:val="0"/>
        <w:kinsoku/>
        <w:wordWrap/>
        <w:overflowPunct/>
        <w:topLinePunct w:val="0"/>
        <w:autoSpaceDE/>
        <w:autoSpaceDN/>
        <w:bidi w:val="0"/>
        <w:adjustRightInd w:val="0"/>
        <w:snapToGrid/>
        <w:spacing w:line="480" w:lineRule="exact"/>
        <w:ind w:firstLine="0" w:firstLineChars="0"/>
        <w:contextualSpacing/>
        <w:textAlignment w:val="auto"/>
        <w:rPr>
          <w:rFonts w:hint="eastAsia" w:ascii="仿宋_GB2312" w:hAnsi="仿宋_GB2312" w:eastAsia="仿宋_GB2312" w:cs="仿宋_GB2312"/>
          <w:bCs/>
          <w:sz w:val="24"/>
          <w:szCs w:val="24"/>
        </w:rPr>
      </w:pPr>
    </w:p>
    <w:p w14:paraId="5D70D212">
      <w:pPr>
        <w:pStyle w:val="35"/>
        <w:keepNext w:val="0"/>
        <w:keepLines w:val="0"/>
        <w:pageBreakBefore w:val="0"/>
        <w:widowControl w:val="0"/>
        <w:kinsoku/>
        <w:wordWrap/>
        <w:overflowPunct/>
        <w:topLinePunct w:val="0"/>
        <w:autoSpaceDE/>
        <w:autoSpaceDN/>
        <w:bidi w:val="0"/>
        <w:adjustRightInd w:val="0"/>
        <w:snapToGrid/>
        <w:spacing w:line="480" w:lineRule="exact"/>
        <w:ind w:firstLine="0" w:firstLineChars="0"/>
        <w:contextualSpacing/>
        <w:textAlignment w:val="auto"/>
        <w:rPr>
          <w:rFonts w:hint="eastAsia" w:ascii="仿宋_GB2312" w:hAnsi="仿宋_GB2312" w:eastAsia="仿宋_GB2312" w:cs="仿宋_GB2312"/>
          <w:bCs/>
          <w:sz w:val="24"/>
          <w:szCs w:val="24"/>
        </w:rPr>
      </w:pPr>
    </w:p>
    <w:p w14:paraId="528B0A44">
      <w:pPr>
        <w:pStyle w:val="35"/>
        <w:keepNext w:val="0"/>
        <w:keepLines w:val="0"/>
        <w:pageBreakBefore w:val="0"/>
        <w:widowControl w:val="0"/>
        <w:kinsoku/>
        <w:wordWrap/>
        <w:overflowPunct/>
        <w:topLinePunct w:val="0"/>
        <w:autoSpaceDE/>
        <w:autoSpaceDN/>
        <w:bidi w:val="0"/>
        <w:adjustRightInd w:val="0"/>
        <w:snapToGrid/>
        <w:spacing w:line="480" w:lineRule="exact"/>
        <w:ind w:firstLine="0" w:firstLineChars="0"/>
        <w:contextualSpacing/>
        <w:textAlignment w:val="auto"/>
        <w:rPr>
          <w:rFonts w:hint="eastAsia" w:ascii="仿宋_GB2312" w:hAnsi="仿宋_GB2312" w:eastAsia="仿宋_GB2312" w:cs="仿宋_GB2312"/>
          <w:bCs/>
          <w:sz w:val="24"/>
          <w:szCs w:val="24"/>
        </w:rPr>
      </w:pPr>
    </w:p>
    <w:p w14:paraId="5022F594">
      <w:pPr>
        <w:pStyle w:val="35"/>
        <w:keepNext w:val="0"/>
        <w:keepLines w:val="0"/>
        <w:pageBreakBefore w:val="0"/>
        <w:widowControl w:val="0"/>
        <w:kinsoku/>
        <w:wordWrap/>
        <w:overflowPunct/>
        <w:topLinePunct w:val="0"/>
        <w:autoSpaceDE/>
        <w:autoSpaceDN/>
        <w:bidi w:val="0"/>
        <w:adjustRightInd w:val="0"/>
        <w:snapToGrid/>
        <w:spacing w:line="480" w:lineRule="exact"/>
        <w:ind w:firstLine="0" w:firstLineChars="0"/>
        <w:contextualSpacing/>
        <w:jc w:val="righ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公司（签章）</w:t>
      </w:r>
    </w:p>
    <w:p w14:paraId="6788A182">
      <w:pPr>
        <w:pStyle w:val="35"/>
        <w:keepNext w:val="0"/>
        <w:keepLines w:val="0"/>
        <w:pageBreakBefore w:val="0"/>
        <w:widowControl w:val="0"/>
        <w:kinsoku/>
        <w:wordWrap/>
        <w:overflowPunct/>
        <w:topLinePunct w:val="0"/>
        <w:autoSpaceDE/>
        <w:autoSpaceDN/>
        <w:bidi w:val="0"/>
        <w:adjustRightInd w:val="0"/>
        <w:snapToGrid/>
        <w:spacing w:line="480" w:lineRule="exact"/>
        <w:ind w:firstLine="0" w:firstLineChars="0"/>
        <w:contextualSpacing/>
        <w:jc w:val="righ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年  月  日</w:t>
      </w:r>
    </w:p>
    <w:p w14:paraId="0042294D">
      <w:pPr>
        <w:pStyle w:val="35"/>
        <w:adjustRightInd w:val="0"/>
        <w:spacing w:before="160" w:after="160"/>
        <w:ind w:firstLine="0" w:firstLineChars="0"/>
        <w:contextualSpacing/>
        <w:jc w:val="right"/>
        <w:rPr>
          <w:rFonts w:hint="eastAsia" w:ascii="宋体" w:hAnsi="宋体" w:eastAsia="宋体"/>
          <w:bCs/>
          <w:szCs w:val="21"/>
        </w:rPr>
      </w:pPr>
    </w:p>
    <w:p w14:paraId="4DD1DAC3">
      <w:pPr>
        <w:spacing w:line="400" w:lineRule="exact"/>
        <w:rPr>
          <w:rFonts w:hint="eastAsia"/>
          <w:color w:val="auto"/>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499"/>
    <w:rsid w:val="00295499"/>
    <w:rsid w:val="00613B8B"/>
    <w:rsid w:val="006659CC"/>
    <w:rsid w:val="006855F8"/>
    <w:rsid w:val="007209B9"/>
    <w:rsid w:val="00853DEA"/>
    <w:rsid w:val="00C9100E"/>
    <w:rsid w:val="00F50D71"/>
    <w:rsid w:val="00F71E30"/>
    <w:rsid w:val="00FC16A9"/>
    <w:rsid w:val="07C73B3A"/>
    <w:rsid w:val="08F65DDD"/>
    <w:rsid w:val="102C2E3A"/>
    <w:rsid w:val="15F17FE6"/>
    <w:rsid w:val="177D4217"/>
    <w:rsid w:val="1D114477"/>
    <w:rsid w:val="259450A9"/>
    <w:rsid w:val="28A644E9"/>
    <w:rsid w:val="29982615"/>
    <w:rsid w:val="2B1F3E68"/>
    <w:rsid w:val="2EF05BDA"/>
    <w:rsid w:val="323B26F3"/>
    <w:rsid w:val="33F46A50"/>
    <w:rsid w:val="360954A1"/>
    <w:rsid w:val="36211653"/>
    <w:rsid w:val="38852DC7"/>
    <w:rsid w:val="3C5E715D"/>
    <w:rsid w:val="3D6267D9"/>
    <w:rsid w:val="49706721"/>
    <w:rsid w:val="4D626381"/>
    <w:rsid w:val="4F5952AC"/>
    <w:rsid w:val="50A57955"/>
    <w:rsid w:val="514A7858"/>
    <w:rsid w:val="56BE6D1E"/>
    <w:rsid w:val="5F153992"/>
    <w:rsid w:val="73643E5E"/>
    <w:rsid w:val="7724794B"/>
    <w:rsid w:val="7CF33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rPr>
  </w:style>
  <w:style w:type="paragraph" w:styleId="7">
    <w:name w:val="heading 6"/>
    <w:basedOn w:val="1"/>
    <w:next w:val="1"/>
    <w:link w:val="27"/>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szCs w:val="22"/>
    </w:rPr>
  </w:style>
  <w:style w:type="paragraph" w:styleId="8">
    <w:name w:val="heading 7"/>
    <w:basedOn w:val="1"/>
    <w:next w:val="1"/>
    <w:link w:val="28"/>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asciiTheme="minorHAnsi" w:hAnsiTheme="minorHAnsi" w:eastAsiaTheme="minorEastAsia"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asciiTheme="minorHAnsi" w:hAnsiTheme="minorHAnsi"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unhideWhenUsed/>
    <w:qFormat/>
    <w:uiPriority w:val="99"/>
    <w:pPr>
      <w:spacing w:after="120"/>
    </w:pPr>
  </w:style>
  <w:style w:type="paragraph" w:styleId="12">
    <w:name w:val="footer"/>
    <w:basedOn w:val="1"/>
    <w:link w:val="4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40"/>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Body Text Indent 3"/>
    <w:basedOn w:val="1"/>
    <w:qFormat/>
    <w:uiPriority w:val="0"/>
    <w:pPr>
      <w:spacing w:line="440" w:lineRule="atLeast"/>
      <w:ind w:firstLine="480" w:firstLineChars="200"/>
      <w:jc w:val="left"/>
    </w:pPr>
    <w:rPr>
      <w:sz w:val="24"/>
    </w:r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7">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customStyle="1" w:styleId="22">
    <w:name w:val="标题 1 字符"/>
    <w:basedOn w:val="20"/>
    <w:link w:val="2"/>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20"/>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20"/>
    <w:link w:val="5"/>
    <w:semiHidden/>
    <w:qFormat/>
    <w:uiPriority w:val="9"/>
    <w:rPr>
      <w:rFonts w:cstheme="majorBidi"/>
      <w:color w:val="2F5597" w:themeColor="accent1" w:themeShade="BF"/>
      <w:sz w:val="28"/>
      <w:szCs w:val="28"/>
    </w:rPr>
  </w:style>
  <w:style w:type="character" w:customStyle="1" w:styleId="26">
    <w:name w:val="标题 5 字符"/>
    <w:basedOn w:val="20"/>
    <w:link w:val="6"/>
    <w:semiHidden/>
    <w:qFormat/>
    <w:uiPriority w:val="9"/>
    <w:rPr>
      <w:rFonts w:cstheme="majorBidi"/>
      <w:color w:val="2F5597" w:themeColor="accent1" w:themeShade="BF"/>
      <w:sz w:val="24"/>
      <w:szCs w:val="24"/>
    </w:rPr>
  </w:style>
  <w:style w:type="character" w:customStyle="1" w:styleId="27">
    <w:name w:val="标题 6 字符"/>
    <w:basedOn w:val="20"/>
    <w:link w:val="7"/>
    <w:semiHidden/>
    <w:qFormat/>
    <w:uiPriority w:val="9"/>
    <w:rPr>
      <w:rFonts w:cstheme="majorBidi"/>
      <w:b/>
      <w:bCs/>
      <w:color w:val="2F5597" w:themeColor="accent1" w:themeShade="BF"/>
    </w:rPr>
  </w:style>
  <w:style w:type="character" w:customStyle="1" w:styleId="28">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rFonts w:asciiTheme="minorHAnsi" w:hAnsiTheme="minorHAnsi" w:eastAsiaTheme="minorEastAsia" w:cstheme="minorBidi"/>
      <w:i/>
      <w:iCs/>
      <w:color w:val="404040" w:themeColor="text1" w:themeTint="BF"/>
      <w:szCs w:val="22"/>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rPr>
      <w:rFonts w:asciiTheme="minorHAnsi" w:hAnsiTheme="minorHAnsi" w:eastAsiaTheme="minorEastAsia" w:cstheme="minorBidi"/>
      <w:szCs w:val="22"/>
    </w:rPr>
  </w:style>
  <w:style w:type="character" w:customStyle="1" w:styleId="36">
    <w:name w:val="Intense Emphasis"/>
    <w:basedOn w:val="20"/>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szCs w:val="22"/>
    </w:rPr>
  </w:style>
  <w:style w:type="character" w:customStyle="1" w:styleId="38">
    <w:name w:val="明显引用 字符"/>
    <w:basedOn w:val="20"/>
    <w:link w:val="37"/>
    <w:qFormat/>
    <w:uiPriority w:val="30"/>
    <w:rPr>
      <w:i/>
      <w:iCs/>
      <w:color w:val="2F5597" w:themeColor="accent1" w:themeShade="BF"/>
    </w:rPr>
  </w:style>
  <w:style w:type="character" w:customStyle="1" w:styleId="39">
    <w:name w:val="Intense Reference"/>
    <w:basedOn w:val="20"/>
    <w:qFormat/>
    <w:uiPriority w:val="32"/>
    <w:rPr>
      <w:b/>
      <w:bCs/>
      <w:smallCaps/>
      <w:color w:val="2F5597" w:themeColor="accent1" w:themeShade="BF"/>
      <w:spacing w:val="5"/>
    </w:rPr>
  </w:style>
  <w:style w:type="character" w:customStyle="1" w:styleId="40">
    <w:name w:val="页眉 字符"/>
    <w:basedOn w:val="20"/>
    <w:link w:val="13"/>
    <w:qFormat/>
    <w:uiPriority w:val="99"/>
    <w:rPr>
      <w:sz w:val="18"/>
      <w:szCs w:val="18"/>
    </w:rPr>
  </w:style>
  <w:style w:type="character" w:customStyle="1" w:styleId="41">
    <w:name w:val="页脚 字符"/>
    <w:basedOn w:val="20"/>
    <w:link w:val="1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3266</Words>
  <Characters>3401</Characters>
  <Lines>13</Lines>
  <Paragraphs>3</Paragraphs>
  <TotalTime>3</TotalTime>
  <ScaleCrop>false</ScaleCrop>
  <LinksUpToDate>false</LinksUpToDate>
  <CharactersWithSpaces>3438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2025-05-22T01:34:00Z</dcterms:created>
  <dc:creator>Administrator</dc:creator>
  <cp:lastModifiedBy>橘子桔子橘</cp:lastModifiedBy>
  <dcterms:modified xsi:type="dcterms:W3CDTF">2026-06-04T05:56:27Z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eyJoZGlkIjoiYWE1ZTQ5MjQ3M2ZjNjgzZjIyMGMwZTczNjQ3NmQxZDUiLCJ1c2VySWQiOiIyNjY4NzI2NjIifQ==</vt:lpwstr>
  </property>
  <property fmtid="{D5CDD505-2E9C-101B-9397-08002B2CF9AE}" pid="3" name="KSOProductBuildVer">
    <vt:lpwstr>2052-12.1.0.26375</vt:lpwstr>
  </property>
  <property fmtid="{D5CDD505-2E9C-101B-9397-08002B2CF9AE}" pid="4" name="ICV">
    <vt:lpwstr>479DBE76EDEA40949DE98BC0A025B97C_13</vt:lpwstr>
  </property>
</Properties>
</file>