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C0DA8">
      <w:pPr>
        <w:jc w:val="center"/>
        <w:rPr>
          <w:rFonts w:hint="eastAsia" w:eastAsia="宋体"/>
          <w:sz w:val="28"/>
          <w:szCs w:val="28"/>
          <w:lang w:val="en-US" w:eastAsia="zh-CN"/>
        </w:rPr>
      </w:pPr>
      <w:bookmarkStart w:id="0" w:name="OLE_LINK19"/>
      <w:bookmarkStart w:id="1" w:name="OLE_LINK20"/>
      <w:r>
        <w:rPr>
          <w:rFonts w:hint="eastAsia"/>
          <w:b/>
          <w:bCs/>
          <w:sz w:val="28"/>
          <w:szCs w:val="28"/>
          <w:lang w:val="en-US" w:eastAsia="zh-CN"/>
        </w:rPr>
        <w:t>智慧医保风险</w:t>
      </w:r>
      <w:bookmarkStart w:id="11" w:name="_GoBack"/>
      <w:bookmarkEnd w:id="11"/>
      <w:r>
        <w:rPr>
          <w:rFonts w:hint="eastAsia"/>
          <w:b/>
          <w:bCs/>
          <w:sz w:val="28"/>
          <w:szCs w:val="28"/>
          <w:lang w:val="en-US" w:eastAsia="zh-CN"/>
        </w:rPr>
        <w:t>管理平台</w:t>
      </w:r>
      <w:r>
        <w:rPr>
          <w:rFonts w:hint="eastAsia"/>
          <w:b/>
          <w:bCs/>
          <w:sz w:val="28"/>
          <w:szCs w:val="28"/>
        </w:rPr>
        <w:t>技术参数要</w:t>
      </w:r>
      <w:bookmarkEnd w:id="0"/>
      <w:bookmarkEnd w:id="1"/>
      <w:r>
        <w:rPr>
          <w:rFonts w:hint="eastAsia"/>
          <w:b/>
          <w:bCs/>
          <w:sz w:val="28"/>
          <w:szCs w:val="28"/>
          <w:lang w:val="en-US" w:eastAsia="zh-CN"/>
        </w:rPr>
        <w:t>求</w:t>
      </w:r>
    </w:p>
    <w:tbl>
      <w:tblPr>
        <w:tblStyle w:val="5"/>
        <w:tblW w:w="9357"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134"/>
        <w:gridCol w:w="1701"/>
        <w:gridCol w:w="5954"/>
      </w:tblGrid>
      <w:tr w14:paraId="6AE95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568" w:type="dxa"/>
            <w:tcBorders>
              <w:top w:val="single" w:color="auto" w:sz="4" w:space="0"/>
              <w:left w:val="single" w:color="auto" w:sz="4" w:space="0"/>
              <w:bottom w:val="single" w:color="auto" w:sz="4" w:space="0"/>
              <w:right w:val="single" w:color="auto" w:sz="4" w:space="0"/>
            </w:tcBorders>
            <w:vAlign w:val="center"/>
          </w:tcPr>
          <w:p w14:paraId="3104C2DE">
            <w:pPr>
              <w:spacing w:after="0" w:line="240" w:lineRule="auto"/>
              <w:jc w:val="center"/>
              <w:rPr>
                <w:rFonts w:hint="eastAsia" w:ascii="宋体" w:hAnsi="宋体" w:cs="宋体"/>
                <w:b/>
                <w:bCs/>
                <w:kern w:val="0"/>
                <w:szCs w:val="24"/>
                <w:lang w:val="zh-CN"/>
              </w:rPr>
            </w:pPr>
            <w:r>
              <w:rPr>
                <w:rFonts w:hint="eastAsia" w:ascii="宋体" w:hAnsi="宋体" w:cs="宋体"/>
                <w:b/>
                <w:bCs/>
                <w:kern w:val="0"/>
                <w:szCs w:val="24"/>
                <w:lang w:val="zh-CN"/>
              </w:rPr>
              <w:t>序号</w:t>
            </w:r>
          </w:p>
        </w:tc>
        <w:tc>
          <w:tcPr>
            <w:tcW w:w="1134" w:type="dxa"/>
            <w:tcBorders>
              <w:top w:val="single" w:color="auto" w:sz="4" w:space="0"/>
              <w:left w:val="single" w:color="auto" w:sz="4" w:space="0"/>
              <w:bottom w:val="single" w:color="auto" w:sz="4" w:space="0"/>
              <w:right w:val="single" w:color="auto" w:sz="4" w:space="0"/>
            </w:tcBorders>
            <w:vAlign w:val="center"/>
          </w:tcPr>
          <w:p w14:paraId="1EB49A83">
            <w:pPr>
              <w:spacing w:after="0" w:line="240" w:lineRule="auto"/>
              <w:jc w:val="center"/>
              <w:rPr>
                <w:rFonts w:hint="eastAsia" w:ascii="宋体" w:hAnsi="宋体" w:cs="宋体"/>
                <w:b/>
                <w:bCs/>
                <w:kern w:val="0"/>
                <w:szCs w:val="24"/>
                <w:lang w:val="zh-CN"/>
              </w:rPr>
            </w:pPr>
            <w:r>
              <w:rPr>
                <w:rFonts w:hint="eastAsia" w:ascii="宋体" w:hAnsi="宋体" w:cs="宋体"/>
                <w:b/>
                <w:bCs/>
                <w:kern w:val="0"/>
                <w:szCs w:val="24"/>
                <w:lang w:val="zh-CN"/>
              </w:rPr>
              <w:t>名称</w:t>
            </w:r>
          </w:p>
        </w:tc>
        <w:tc>
          <w:tcPr>
            <w:tcW w:w="1701" w:type="dxa"/>
            <w:tcBorders>
              <w:top w:val="single" w:color="auto" w:sz="4" w:space="0"/>
              <w:left w:val="single" w:color="auto" w:sz="4" w:space="0"/>
              <w:bottom w:val="single" w:color="auto" w:sz="4" w:space="0"/>
              <w:right w:val="single" w:color="auto" w:sz="4" w:space="0"/>
            </w:tcBorders>
            <w:vAlign w:val="center"/>
          </w:tcPr>
          <w:p w14:paraId="11986198">
            <w:pPr>
              <w:spacing w:after="0" w:line="240" w:lineRule="auto"/>
              <w:jc w:val="center"/>
              <w:rPr>
                <w:rFonts w:hint="eastAsia" w:ascii="宋体" w:hAnsi="宋体" w:cs="宋体"/>
                <w:b/>
                <w:bCs/>
                <w:kern w:val="0"/>
                <w:szCs w:val="24"/>
                <w:lang w:val="zh-CN"/>
              </w:rPr>
            </w:pPr>
            <w:r>
              <w:rPr>
                <w:rFonts w:hint="eastAsia" w:ascii="宋体" w:hAnsi="宋体" w:cs="宋体"/>
                <w:b/>
                <w:bCs/>
                <w:kern w:val="0"/>
                <w:szCs w:val="24"/>
                <w:lang w:val="zh-CN"/>
              </w:rPr>
              <w:t>功能模块</w:t>
            </w:r>
          </w:p>
        </w:tc>
        <w:tc>
          <w:tcPr>
            <w:tcW w:w="5954" w:type="dxa"/>
            <w:tcBorders>
              <w:top w:val="single" w:color="auto" w:sz="4" w:space="0"/>
              <w:left w:val="single" w:color="auto" w:sz="4" w:space="0"/>
              <w:bottom w:val="single" w:color="auto" w:sz="4" w:space="0"/>
              <w:right w:val="single" w:color="auto" w:sz="4" w:space="0"/>
            </w:tcBorders>
            <w:vAlign w:val="center"/>
          </w:tcPr>
          <w:p w14:paraId="1DE4BB12">
            <w:pPr>
              <w:spacing w:after="0" w:line="240" w:lineRule="auto"/>
              <w:jc w:val="center"/>
              <w:rPr>
                <w:rFonts w:hint="eastAsia" w:ascii="宋体" w:hAnsi="宋体" w:cs="宋体"/>
                <w:b/>
                <w:bCs/>
                <w:kern w:val="0"/>
                <w:szCs w:val="24"/>
                <w:lang w:val="zh-CN"/>
              </w:rPr>
            </w:pPr>
            <w:r>
              <w:rPr>
                <w:rFonts w:hint="eastAsia" w:ascii="宋体" w:hAnsi="宋体" w:cs="宋体"/>
                <w:b/>
                <w:bCs/>
                <w:kern w:val="0"/>
                <w:szCs w:val="24"/>
                <w:lang w:val="zh-CN"/>
              </w:rPr>
              <w:t>功能需求说明</w:t>
            </w:r>
          </w:p>
        </w:tc>
      </w:tr>
      <w:tr w14:paraId="5D27B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trPr>
        <w:tc>
          <w:tcPr>
            <w:tcW w:w="568" w:type="dxa"/>
            <w:vMerge w:val="restart"/>
            <w:tcBorders>
              <w:top w:val="single" w:color="auto" w:sz="4" w:space="0"/>
              <w:left w:val="single" w:color="auto" w:sz="4" w:space="0"/>
              <w:bottom w:val="single" w:color="auto" w:sz="4" w:space="0"/>
              <w:right w:val="single" w:color="auto" w:sz="4" w:space="0"/>
            </w:tcBorders>
            <w:vAlign w:val="center"/>
          </w:tcPr>
          <w:p w14:paraId="1435CEB7">
            <w:pPr>
              <w:spacing w:after="0" w:line="240" w:lineRule="auto"/>
              <w:jc w:val="center"/>
              <w:rPr>
                <w:rFonts w:hint="eastAsia" w:ascii="宋体" w:hAnsi="宋体" w:cs="宋体"/>
                <w:kern w:val="0"/>
                <w:szCs w:val="24"/>
                <w:lang w:val="zh-CN"/>
              </w:rPr>
            </w:pPr>
            <w:r>
              <w:rPr>
                <w:rFonts w:hint="eastAsia" w:ascii="宋体" w:hAnsi="宋体" w:cs="宋体"/>
                <w:kern w:val="0"/>
                <w:szCs w:val="24"/>
                <w:lang w:val="zh-CN"/>
              </w:rPr>
              <w:t>1</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6F47FB59">
            <w:pPr>
              <w:spacing w:after="0" w:line="240" w:lineRule="auto"/>
              <w:jc w:val="center"/>
              <w:rPr>
                <w:rFonts w:hint="eastAsia" w:ascii="宋体" w:hAnsi="宋体" w:cs="宋体"/>
                <w:kern w:val="0"/>
                <w:szCs w:val="24"/>
                <w:lang w:val="zh-CN"/>
              </w:rPr>
            </w:pPr>
            <w:r>
              <w:rPr>
                <w:rFonts w:hint="eastAsia" w:ascii="宋体" w:hAnsi="宋体" w:cs="宋体"/>
                <w:kern w:val="0"/>
                <w:szCs w:val="24"/>
                <w:lang w:val="zh-CN"/>
              </w:rPr>
              <w:t>医保智能监督预警提醒</w:t>
            </w:r>
          </w:p>
        </w:tc>
        <w:tc>
          <w:tcPr>
            <w:tcW w:w="1701" w:type="dxa"/>
            <w:tcBorders>
              <w:top w:val="single" w:color="auto" w:sz="4" w:space="0"/>
              <w:left w:val="single" w:color="auto" w:sz="4" w:space="0"/>
              <w:bottom w:val="single" w:color="auto" w:sz="4" w:space="0"/>
              <w:right w:val="single" w:color="auto" w:sz="4" w:space="0"/>
            </w:tcBorders>
            <w:vAlign w:val="center"/>
          </w:tcPr>
          <w:p w14:paraId="3782805D">
            <w:pPr>
              <w:spacing w:after="0" w:line="240" w:lineRule="auto"/>
              <w:jc w:val="center"/>
              <w:rPr>
                <w:rFonts w:hint="eastAsia" w:ascii="宋体" w:hAnsi="宋体" w:cs="宋体"/>
                <w:kern w:val="0"/>
                <w:szCs w:val="24"/>
              </w:rPr>
            </w:pPr>
            <w:r>
              <w:rPr>
                <w:rFonts w:hint="eastAsia" w:ascii="宋体" w:hAnsi="宋体" w:cs="宋体"/>
                <w:kern w:val="0"/>
                <w:szCs w:val="24"/>
              </w:rPr>
              <w:t>实时收费监督</w:t>
            </w:r>
          </w:p>
        </w:tc>
        <w:tc>
          <w:tcPr>
            <w:tcW w:w="5954" w:type="dxa"/>
            <w:tcBorders>
              <w:top w:val="single" w:color="auto" w:sz="4" w:space="0"/>
              <w:left w:val="single" w:color="auto" w:sz="4" w:space="0"/>
              <w:bottom w:val="single" w:color="auto" w:sz="4" w:space="0"/>
              <w:right w:val="single" w:color="auto" w:sz="4" w:space="0"/>
            </w:tcBorders>
            <w:vAlign w:val="center"/>
          </w:tcPr>
          <w:p w14:paraId="24835384">
            <w:pPr>
              <w:spacing w:after="0" w:line="240" w:lineRule="auto"/>
              <w:jc w:val="left"/>
              <w:rPr>
                <w:rFonts w:hint="eastAsia" w:ascii="宋体" w:hAnsi="宋体" w:cs="宋体"/>
                <w:kern w:val="0"/>
                <w:szCs w:val="24"/>
              </w:rPr>
            </w:pPr>
            <w:r>
              <w:rPr>
                <w:rFonts w:hint="eastAsia" w:ascii="宋体" w:hAnsi="宋体" w:cs="宋体"/>
                <w:kern w:val="0"/>
                <w:szCs w:val="24"/>
              </w:rPr>
              <w:t>支持在门诊诊间、开立医嘱、护士补记账费用、病人预出院等多种场景下，利用医疗费用监测规则库对病人的医嘱、费用进行医保合理性检查。并可通过控制级别对可疑、违规费用进行预警和控制。</w:t>
            </w:r>
          </w:p>
        </w:tc>
      </w:tr>
      <w:tr w14:paraId="1F4A5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58F31511">
            <w:pPr>
              <w:spacing w:after="0" w:line="240" w:lineRule="auto"/>
              <w:jc w:val="center"/>
              <w:rPr>
                <w:rFonts w:hint="eastAsia" w:ascii="宋体" w:hAnsi="宋体" w:cs="宋体"/>
                <w:kern w:val="0"/>
                <w:szCs w:val="24"/>
                <w:lang w:val="zh-CN"/>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007C067F">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3111D708">
            <w:pPr>
              <w:spacing w:after="0" w:line="240" w:lineRule="auto"/>
              <w:jc w:val="center"/>
              <w:rPr>
                <w:rFonts w:hint="eastAsia" w:ascii="宋体" w:hAnsi="宋体" w:cs="宋体"/>
                <w:kern w:val="0"/>
                <w:szCs w:val="24"/>
              </w:rPr>
            </w:pPr>
            <w:r>
              <w:rPr>
                <w:rFonts w:hint="eastAsia" w:ascii="宋体" w:hAnsi="宋体" w:cs="宋体"/>
                <w:kern w:val="0"/>
                <w:szCs w:val="24"/>
              </w:rPr>
              <w:t>预警分析</w:t>
            </w:r>
          </w:p>
        </w:tc>
        <w:tc>
          <w:tcPr>
            <w:tcW w:w="5954" w:type="dxa"/>
            <w:tcBorders>
              <w:top w:val="single" w:color="auto" w:sz="4" w:space="0"/>
              <w:left w:val="single" w:color="auto" w:sz="4" w:space="0"/>
              <w:bottom w:val="single" w:color="auto" w:sz="4" w:space="0"/>
              <w:right w:val="single" w:color="auto" w:sz="4" w:space="0"/>
            </w:tcBorders>
            <w:vAlign w:val="center"/>
          </w:tcPr>
          <w:p w14:paraId="14731DC9">
            <w:pPr>
              <w:spacing w:after="0" w:line="240" w:lineRule="auto"/>
              <w:jc w:val="left"/>
              <w:rPr>
                <w:rFonts w:hint="eastAsia" w:ascii="宋体" w:hAnsi="宋体" w:cs="宋体"/>
                <w:kern w:val="0"/>
                <w:szCs w:val="24"/>
              </w:rPr>
            </w:pPr>
            <w:r>
              <w:rPr>
                <w:rFonts w:hint="eastAsia" w:ascii="宋体" w:hAnsi="宋体" w:cs="宋体"/>
                <w:kern w:val="0"/>
                <w:szCs w:val="24"/>
              </w:rPr>
              <w:t>统计事前事中收费累计监管情况。门诊处方、住院医嘱、住院预结算的收费预警人次与遵从率。实施查看当日收费监管的运行情况。</w:t>
            </w:r>
          </w:p>
        </w:tc>
      </w:tr>
      <w:tr w14:paraId="5C408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023BFD88">
            <w:pPr>
              <w:spacing w:after="0" w:line="240" w:lineRule="auto"/>
              <w:jc w:val="center"/>
              <w:rPr>
                <w:rFonts w:hint="eastAsia" w:ascii="宋体" w:hAnsi="宋体" w:cs="宋体"/>
                <w:kern w:val="0"/>
                <w:szCs w:val="24"/>
                <w:lang w:val="zh-CN"/>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527A0D94">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2F67CDAF">
            <w:pPr>
              <w:spacing w:after="0" w:line="240" w:lineRule="auto"/>
              <w:jc w:val="center"/>
              <w:rPr>
                <w:rFonts w:hint="eastAsia" w:ascii="宋体" w:hAnsi="宋体" w:cs="宋体"/>
                <w:kern w:val="0"/>
                <w:szCs w:val="24"/>
              </w:rPr>
            </w:pPr>
            <w:r>
              <w:rPr>
                <w:rFonts w:hint="eastAsia" w:ascii="宋体" w:hAnsi="宋体" w:cs="宋体"/>
                <w:kern w:val="0"/>
                <w:szCs w:val="24"/>
              </w:rPr>
              <w:t>▲</w:t>
            </w:r>
            <w:r>
              <w:rPr>
                <w:rFonts w:hint="eastAsia" w:ascii="宋体" w:hAnsi="宋体" w:cs="宋体"/>
                <w:kern w:val="0"/>
                <w:szCs w:val="24"/>
                <w:lang w:val="zh-CN"/>
              </w:rPr>
              <w:t>门诊处方提醒控制</w:t>
            </w:r>
          </w:p>
        </w:tc>
        <w:tc>
          <w:tcPr>
            <w:tcW w:w="5954" w:type="dxa"/>
            <w:tcBorders>
              <w:top w:val="single" w:color="auto" w:sz="4" w:space="0"/>
              <w:left w:val="single" w:color="auto" w:sz="4" w:space="0"/>
              <w:bottom w:val="single" w:color="auto" w:sz="4" w:space="0"/>
              <w:right w:val="single" w:color="auto" w:sz="4" w:space="0"/>
            </w:tcBorders>
            <w:vAlign w:val="center"/>
          </w:tcPr>
          <w:p w14:paraId="3C4A7C61">
            <w:pPr>
              <w:spacing w:after="0" w:line="240" w:lineRule="auto"/>
              <w:jc w:val="left"/>
              <w:rPr>
                <w:rFonts w:hint="eastAsia" w:ascii="宋体" w:hAnsi="宋体" w:cs="宋体"/>
                <w:kern w:val="0"/>
                <w:szCs w:val="24"/>
              </w:rPr>
            </w:pPr>
            <w:r>
              <w:rPr>
                <w:rFonts w:hint="eastAsia" w:ascii="宋体" w:hAnsi="宋体" w:cs="宋体"/>
                <w:kern w:val="0"/>
                <w:szCs w:val="24"/>
                <w:lang w:val="zh-CN"/>
              </w:rPr>
              <w:t>通过接口服务，在医生开立门诊医嘱时，</w:t>
            </w:r>
            <w:r>
              <w:rPr>
                <w:rFonts w:hint="eastAsia" w:ascii="宋体" w:hAnsi="宋体" w:cs="宋体"/>
                <w:kern w:val="0"/>
                <w:szCs w:val="24"/>
              </w:rPr>
              <w:t>利用医疗费用监测知识库对病人的医嘱、费用进行医保合理性检查。通过控制级别对可疑、违规费用进行预警和控制。</w:t>
            </w:r>
          </w:p>
          <w:p w14:paraId="10926BDC">
            <w:pPr>
              <w:spacing w:after="0" w:line="240" w:lineRule="auto"/>
              <w:jc w:val="left"/>
              <w:rPr>
                <w:rFonts w:hint="eastAsia" w:ascii="宋体" w:hAnsi="宋体" w:cs="宋体"/>
                <w:kern w:val="0"/>
                <w:szCs w:val="24"/>
              </w:rPr>
            </w:pPr>
            <w:r>
              <w:rPr>
                <w:rFonts w:hint="eastAsia" w:ascii="宋体" w:hAnsi="宋体"/>
                <w:kern w:val="0"/>
                <w:szCs w:val="24"/>
              </w:rPr>
              <w:t>（投标人需提供与以上功能相关系统操作界面截图或视频文件）</w:t>
            </w:r>
          </w:p>
        </w:tc>
      </w:tr>
      <w:tr w14:paraId="3D47D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32E7BE48">
            <w:pPr>
              <w:spacing w:after="0" w:line="240" w:lineRule="auto"/>
              <w:jc w:val="center"/>
              <w:rPr>
                <w:rFonts w:hint="eastAsia" w:ascii="宋体" w:hAnsi="宋体" w:cs="宋体"/>
                <w:kern w:val="0"/>
                <w:szCs w:val="24"/>
                <w:lang w:val="zh-CN"/>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7F7B8E45">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420DDD29">
            <w:pPr>
              <w:spacing w:after="0" w:line="240" w:lineRule="auto"/>
              <w:jc w:val="center"/>
              <w:rPr>
                <w:rFonts w:hint="eastAsia" w:ascii="宋体" w:hAnsi="宋体" w:cs="宋体"/>
                <w:kern w:val="0"/>
                <w:szCs w:val="24"/>
              </w:rPr>
            </w:pPr>
            <w:r>
              <w:rPr>
                <w:rFonts w:hint="eastAsia" w:ascii="宋体" w:hAnsi="宋体" w:cs="宋体"/>
                <w:kern w:val="0"/>
                <w:szCs w:val="24"/>
              </w:rPr>
              <w:t>住院医嘱提醒</w:t>
            </w:r>
            <w:r>
              <w:rPr>
                <w:rFonts w:hint="eastAsia" w:ascii="宋体" w:hAnsi="宋体" w:cs="宋体"/>
                <w:kern w:val="0"/>
                <w:szCs w:val="24"/>
                <w:lang w:val="zh-CN"/>
              </w:rPr>
              <w:t>控制</w:t>
            </w:r>
          </w:p>
        </w:tc>
        <w:tc>
          <w:tcPr>
            <w:tcW w:w="5954" w:type="dxa"/>
            <w:tcBorders>
              <w:top w:val="single" w:color="auto" w:sz="4" w:space="0"/>
              <w:left w:val="single" w:color="auto" w:sz="4" w:space="0"/>
              <w:bottom w:val="single" w:color="auto" w:sz="4" w:space="0"/>
              <w:right w:val="single" w:color="auto" w:sz="4" w:space="0"/>
            </w:tcBorders>
            <w:vAlign w:val="center"/>
          </w:tcPr>
          <w:p w14:paraId="28EA3D8C">
            <w:pPr>
              <w:spacing w:after="0" w:line="240" w:lineRule="auto"/>
              <w:jc w:val="left"/>
              <w:rPr>
                <w:rFonts w:hint="eastAsia" w:ascii="宋体" w:hAnsi="宋体" w:cs="宋体"/>
                <w:kern w:val="0"/>
                <w:szCs w:val="24"/>
                <w:lang w:val="zh-CN"/>
              </w:rPr>
            </w:pPr>
            <w:r>
              <w:rPr>
                <w:rFonts w:hint="eastAsia" w:ascii="宋体" w:hAnsi="宋体" w:cs="宋体"/>
                <w:kern w:val="0"/>
                <w:szCs w:val="24"/>
                <w:lang w:val="zh-CN"/>
              </w:rPr>
              <w:t>通过接口服务，在医生开立住院医嘱时，利用医疗费用监测知识库对病人的医嘱、费用进行医保合理性检查。通过控制级别对可疑、违规费用进行预警和控制。</w:t>
            </w:r>
          </w:p>
        </w:tc>
      </w:tr>
      <w:tr w14:paraId="36A2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08986A5B">
            <w:pPr>
              <w:spacing w:after="0" w:line="240" w:lineRule="auto"/>
              <w:jc w:val="center"/>
              <w:rPr>
                <w:rFonts w:hint="eastAsia" w:ascii="宋体" w:hAnsi="宋体" w:cs="宋体"/>
                <w:kern w:val="0"/>
                <w:szCs w:val="24"/>
                <w:lang w:val="zh-CN"/>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5A34E6B2">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3A831900">
            <w:pPr>
              <w:spacing w:after="0" w:line="240" w:lineRule="auto"/>
              <w:jc w:val="center"/>
              <w:rPr>
                <w:rFonts w:hint="eastAsia" w:ascii="宋体" w:hAnsi="宋体" w:cs="宋体"/>
                <w:kern w:val="0"/>
                <w:szCs w:val="24"/>
              </w:rPr>
            </w:pPr>
            <w:r>
              <w:rPr>
                <w:rFonts w:hint="eastAsia" w:ascii="宋体" w:hAnsi="宋体" w:cs="宋体"/>
                <w:kern w:val="0"/>
                <w:szCs w:val="24"/>
              </w:rPr>
              <w:t>出院预结算提醒控制</w:t>
            </w:r>
          </w:p>
        </w:tc>
        <w:tc>
          <w:tcPr>
            <w:tcW w:w="5954" w:type="dxa"/>
            <w:tcBorders>
              <w:top w:val="single" w:color="auto" w:sz="4" w:space="0"/>
              <w:left w:val="single" w:color="auto" w:sz="4" w:space="0"/>
              <w:bottom w:val="single" w:color="auto" w:sz="4" w:space="0"/>
              <w:right w:val="single" w:color="auto" w:sz="4" w:space="0"/>
            </w:tcBorders>
            <w:vAlign w:val="center"/>
          </w:tcPr>
          <w:p w14:paraId="5262E2C6">
            <w:pPr>
              <w:spacing w:after="0" w:line="240" w:lineRule="auto"/>
              <w:jc w:val="left"/>
              <w:rPr>
                <w:rFonts w:hint="eastAsia" w:ascii="宋体" w:hAnsi="宋体" w:cs="宋体"/>
                <w:kern w:val="0"/>
                <w:szCs w:val="24"/>
              </w:rPr>
            </w:pPr>
            <w:r>
              <w:rPr>
                <w:rFonts w:hint="eastAsia" w:ascii="宋体" w:hAnsi="宋体" w:cs="宋体"/>
                <w:kern w:val="0"/>
                <w:szCs w:val="24"/>
                <w:lang w:val="zh-CN"/>
              </w:rPr>
              <w:t>通过接口服务，在</w:t>
            </w:r>
            <w:r>
              <w:rPr>
                <w:rFonts w:hint="eastAsia" w:ascii="宋体" w:hAnsi="宋体" w:cs="宋体"/>
                <w:kern w:val="0"/>
                <w:szCs w:val="24"/>
              </w:rPr>
              <w:t>病人出院预结算</w:t>
            </w:r>
            <w:r>
              <w:rPr>
                <w:rFonts w:hint="eastAsia" w:ascii="宋体" w:hAnsi="宋体" w:cs="宋体"/>
                <w:kern w:val="0"/>
                <w:szCs w:val="24"/>
                <w:lang w:val="zh-CN"/>
              </w:rPr>
              <w:t>时，</w:t>
            </w:r>
            <w:r>
              <w:rPr>
                <w:rFonts w:hint="eastAsia" w:ascii="宋体" w:hAnsi="宋体" w:cs="宋体"/>
                <w:kern w:val="0"/>
                <w:szCs w:val="24"/>
              </w:rPr>
              <w:t>利用医疗费用监测知识库对病人所有在院产生的费用进行医保合理性检查。通过控制级别对可疑、违规费用进行预警和控制。</w:t>
            </w:r>
          </w:p>
        </w:tc>
      </w:tr>
      <w:tr w14:paraId="49693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trPr>
        <w:tc>
          <w:tcPr>
            <w:tcW w:w="568" w:type="dxa"/>
            <w:vMerge w:val="restart"/>
            <w:tcBorders>
              <w:top w:val="single" w:color="auto" w:sz="4" w:space="0"/>
              <w:left w:val="single" w:color="auto" w:sz="4" w:space="0"/>
              <w:right w:val="single" w:color="auto" w:sz="4" w:space="0"/>
            </w:tcBorders>
            <w:vAlign w:val="center"/>
          </w:tcPr>
          <w:p w14:paraId="1AF7364A">
            <w:pPr>
              <w:spacing w:after="0" w:line="240" w:lineRule="auto"/>
              <w:jc w:val="center"/>
              <w:rPr>
                <w:rFonts w:hint="eastAsia" w:ascii="宋体" w:hAnsi="宋体" w:cs="宋体"/>
                <w:kern w:val="0"/>
                <w:szCs w:val="24"/>
                <w:lang w:val="zh-CN"/>
              </w:rPr>
            </w:pPr>
            <w:r>
              <w:rPr>
                <w:rFonts w:hint="eastAsia" w:ascii="宋体" w:hAnsi="宋体" w:cs="宋体"/>
                <w:kern w:val="0"/>
                <w:szCs w:val="24"/>
                <w:lang w:val="zh-CN"/>
              </w:rPr>
              <w:t>2</w:t>
            </w:r>
          </w:p>
        </w:tc>
        <w:tc>
          <w:tcPr>
            <w:tcW w:w="1134" w:type="dxa"/>
            <w:vMerge w:val="restart"/>
            <w:tcBorders>
              <w:top w:val="single" w:color="auto" w:sz="4" w:space="0"/>
              <w:left w:val="single" w:color="auto" w:sz="4" w:space="0"/>
              <w:right w:val="single" w:color="auto" w:sz="4" w:space="0"/>
            </w:tcBorders>
            <w:vAlign w:val="center"/>
          </w:tcPr>
          <w:p w14:paraId="18EA6D28">
            <w:pPr>
              <w:spacing w:after="0" w:line="240" w:lineRule="auto"/>
              <w:jc w:val="center"/>
              <w:rPr>
                <w:rFonts w:hint="eastAsia" w:ascii="宋体" w:hAnsi="宋体" w:cs="宋体"/>
                <w:kern w:val="0"/>
                <w:szCs w:val="24"/>
                <w:lang w:val="zh-CN"/>
              </w:rPr>
            </w:pPr>
            <w:r>
              <w:rPr>
                <w:rFonts w:hint="eastAsia" w:ascii="宋体" w:hAnsi="宋体" w:cs="宋体"/>
                <w:kern w:val="0"/>
                <w:szCs w:val="24"/>
                <w:lang w:val="zh-CN"/>
              </w:rPr>
              <w:t>违规管理</w:t>
            </w:r>
          </w:p>
        </w:tc>
        <w:tc>
          <w:tcPr>
            <w:tcW w:w="1701" w:type="dxa"/>
            <w:tcBorders>
              <w:top w:val="single" w:color="auto" w:sz="4" w:space="0"/>
              <w:left w:val="single" w:color="auto" w:sz="4" w:space="0"/>
              <w:right w:val="single" w:color="auto" w:sz="4" w:space="0"/>
            </w:tcBorders>
            <w:vAlign w:val="center"/>
          </w:tcPr>
          <w:p w14:paraId="746A5AD0">
            <w:pPr>
              <w:spacing w:after="0" w:line="240" w:lineRule="auto"/>
              <w:jc w:val="center"/>
              <w:rPr>
                <w:rFonts w:hint="eastAsia" w:ascii="宋体" w:hAnsi="宋体" w:cs="宋体"/>
                <w:kern w:val="0"/>
                <w:szCs w:val="24"/>
              </w:rPr>
            </w:pPr>
            <w:r>
              <w:rPr>
                <w:rFonts w:hint="eastAsia" w:ascii="宋体" w:hAnsi="宋体" w:cs="宋体"/>
                <w:kern w:val="0"/>
                <w:szCs w:val="24"/>
              </w:rPr>
              <w:t>▲</w:t>
            </w:r>
            <w:r>
              <w:rPr>
                <w:rFonts w:hint="eastAsia" w:ascii="宋体" w:hAnsi="宋体" w:cs="宋体"/>
                <w:kern w:val="0"/>
                <w:szCs w:val="24"/>
                <w:lang w:val="zh-CN"/>
              </w:rPr>
              <w:t>医保科工作台</w:t>
            </w:r>
          </w:p>
        </w:tc>
        <w:tc>
          <w:tcPr>
            <w:tcW w:w="5954" w:type="dxa"/>
            <w:tcBorders>
              <w:top w:val="single" w:color="auto" w:sz="4" w:space="0"/>
              <w:left w:val="single" w:color="auto" w:sz="4" w:space="0"/>
              <w:right w:val="single" w:color="auto" w:sz="4" w:space="0"/>
            </w:tcBorders>
            <w:vAlign w:val="center"/>
          </w:tcPr>
          <w:p w14:paraId="2F2AE21D">
            <w:pPr>
              <w:spacing w:after="0" w:line="240" w:lineRule="auto"/>
              <w:jc w:val="left"/>
              <w:rPr>
                <w:rFonts w:hint="eastAsia" w:ascii="宋体" w:hAnsi="宋体" w:cs="宋体"/>
                <w:kern w:val="0"/>
                <w:szCs w:val="24"/>
                <w:lang w:val="zh-CN"/>
              </w:rPr>
            </w:pPr>
            <w:r>
              <w:rPr>
                <w:rFonts w:hint="eastAsia" w:ascii="宋体" w:hAnsi="宋体" w:cs="宋体"/>
                <w:kern w:val="0"/>
                <w:szCs w:val="24"/>
                <w:lang w:val="zh-CN"/>
              </w:rPr>
              <w:t>以图表的形式，综合展示医保科工作人员业务所需的信息，如：内审违规情况、两定疑点申诉情况、规则库总体情况，并提供违规信息和申诉信息的检索功能。可快速查看详细信息和说明。</w:t>
            </w:r>
          </w:p>
          <w:p w14:paraId="1B313274">
            <w:pPr>
              <w:spacing w:after="0" w:line="240" w:lineRule="auto"/>
              <w:jc w:val="left"/>
              <w:rPr>
                <w:rFonts w:hint="eastAsia" w:ascii="宋体" w:hAnsi="宋体" w:cs="宋体"/>
                <w:kern w:val="0"/>
                <w:szCs w:val="24"/>
                <w:lang w:val="zh-CN"/>
              </w:rPr>
            </w:pPr>
            <w:r>
              <w:rPr>
                <w:rFonts w:hint="eastAsia" w:ascii="宋体" w:hAnsi="宋体"/>
                <w:kern w:val="0"/>
                <w:szCs w:val="24"/>
              </w:rPr>
              <w:t>（投标人需提供与以上功能相关系统操作界面截图或视频文件）</w:t>
            </w:r>
          </w:p>
        </w:tc>
      </w:tr>
      <w:tr w14:paraId="3585C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65614614">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5FCA5351">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6FEB3366">
            <w:pPr>
              <w:spacing w:after="0" w:line="240" w:lineRule="auto"/>
              <w:jc w:val="center"/>
              <w:rPr>
                <w:rFonts w:hint="eastAsia" w:ascii="宋体" w:hAnsi="宋体" w:cs="宋体"/>
                <w:kern w:val="0"/>
                <w:szCs w:val="24"/>
                <w:lang w:val="zh-CN"/>
              </w:rPr>
            </w:pPr>
            <w:r>
              <w:rPr>
                <w:rFonts w:hint="eastAsia" w:ascii="宋体" w:hAnsi="宋体" w:cs="宋体"/>
                <w:kern w:val="0"/>
                <w:szCs w:val="24"/>
              </w:rPr>
              <w:t>医生站</w:t>
            </w:r>
          </w:p>
        </w:tc>
        <w:tc>
          <w:tcPr>
            <w:tcW w:w="5954" w:type="dxa"/>
            <w:tcBorders>
              <w:top w:val="single" w:color="auto" w:sz="4" w:space="0"/>
              <w:left w:val="single" w:color="auto" w:sz="4" w:space="0"/>
              <w:bottom w:val="single" w:color="auto" w:sz="4" w:space="0"/>
              <w:right w:val="single" w:color="auto" w:sz="4" w:space="0"/>
            </w:tcBorders>
            <w:vAlign w:val="center"/>
          </w:tcPr>
          <w:p w14:paraId="2D1FBC41">
            <w:pPr>
              <w:spacing w:after="0" w:line="240" w:lineRule="auto"/>
              <w:ind w:left="83"/>
              <w:contextualSpacing/>
              <w:jc w:val="left"/>
              <w:rPr>
                <w:rFonts w:hint="eastAsia" w:ascii="宋体" w:hAnsi="宋体" w:cs="宋体"/>
                <w:kern w:val="0"/>
                <w:szCs w:val="24"/>
                <w:lang w:val="zh-CN"/>
              </w:rPr>
            </w:pPr>
            <w:r>
              <w:rPr>
                <w:rFonts w:hint="eastAsia" w:ascii="宋体" w:hAnsi="宋体" w:cs="宋体"/>
                <w:kern w:val="0"/>
                <w:szCs w:val="24"/>
              </w:rPr>
              <w:t>医生站</w:t>
            </w:r>
            <w:r>
              <w:rPr>
                <w:rFonts w:hint="eastAsia" w:ascii="宋体" w:hAnsi="宋体" w:cs="宋体"/>
                <w:kern w:val="0"/>
                <w:szCs w:val="24"/>
                <w:lang w:val="zh-CN"/>
              </w:rPr>
              <w:t>界面支持多维度过滤违规信息；中段列表按待说明/待内审等状态展示患者违规与金额等信息；右侧卡片化呈现病例、违规记录、规则原文及处理方案，并支持拍照、历史申诉一键导入快速自证；且支持自动申诉，并可查看该违规的建议处理方案。</w:t>
            </w:r>
          </w:p>
        </w:tc>
      </w:tr>
      <w:tr w14:paraId="48774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568" w:type="dxa"/>
            <w:vMerge w:val="continue"/>
            <w:tcBorders>
              <w:left w:val="single" w:color="auto" w:sz="4" w:space="0"/>
              <w:right w:val="single" w:color="auto" w:sz="4" w:space="0"/>
            </w:tcBorders>
            <w:vAlign w:val="center"/>
          </w:tcPr>
          <w:p w14:paraId="685D59E3">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604E36C0">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3397430F">
            <w:pPr>
              <w:spacing w:after="0" w:line="240" w:lineRule="auto"/>
              <w:jc w:val="center"/>
              <w:rPr>
                <w:rFonts w:hint="eastAsia" w:ascii="宋体" w:hAnsi="宋体" w:cs="宋体"/>
                <w:kern w:val="0"/>
                <w:szCs w:val="24"/>
              </w:rPr>
            </w:pPr>
            <w:r>
              <w:rPr>
                <w:rFonts w:hint="eastAsia" w:ascii="宋体" w:hAnsi="宋体" w:cs="宋体"/>
                <w:kern w:val="0"/>
                <w:szCs w:val="24"/>
              </w:rPr>
              <w:t>护士站</w:t>
            </w:r>
          </w:p>
        </w:tc>
        <w:tc>
          <w:tcPr>
            <w:tcW w:w="5954" w:type="dxa"/>
            <w:tcBorders>
              <w:top w:val="single" w:color="auto" w:sz="4" w:space="0"/>
              <w:left w:val="single" w:color="auto" w:sz="4" w:space="0"/>
              <w:bottom w:val="single" w:color="auto" w:sz="4" w:space="0"/>
              <w:right w:val="single" w:color="auto" w:sz="4" w:space="0"/>
            </w:tcBorders>
            <w:vAlign w:val="center"/>
          </w:tcPr>
          <w:p w14:paraId="4CF47216">
            <w:pPr>
              <w:spacing w:after="0" w:line="240" w:lineRule="auto"/>
              <w:contextualSpacing/>
              <w:jc w:val="left"/>
              <w:rPr>
                <w:rFonts w:hint="eastAsia" w:ascii="宋体" w:hAnsi="宋体" w:cs="宋体"/>
                <w:kern w:val="0"/>
                <w:szCs w:val="24"/>
              </w:rPr>
            </w:pPr>
            <w:r>
              <w:rPr>
                <w:rFonts w:hint="eastAsia" w:ascii="宋体" w:hAnsi="宋体" w:cs="宋体"/>
                <w:kern w:val="0"/>
                <w:szCs w:val="24"/>
              </w:rPr>
              <w:t>护士站是把医生站能力平移到护理视角；</w:t>
            </w:r>
          </w:p>
          <w:p w14:paraId="58C99573">
            <w:pPr>
              <w:spacing w:after="0" w:line="240" w:lineRule="auto"/>
              <w:contextualSpacing/>
              <w:jc w:val="left"/>
              <w:rPr>
                <w:rFonts w:hint="eastAsia" w:ascii="宋体" w:hAnsi="宋体" w:cs="宋体"/>
                <w:kern w:val="0"/>
                <w:szCs w:val="24"/>
                <w:shd w:val="pct15" w:color="auto" w:fill="FFFFFF"/>
                <w:lang w:val="zh-CN"/>
              </w:rPr>
            </w:pPr>
            <w:r>
              <w:rPr>
                <w:rFonts w:hint="eastAsia" w:ascii="宋体" w:hAnsi="宋体" w:cs="宋体"/>
                <w:kern w:val="0"/>
                <w:szCs w:val="24"/>
              </w:rPr>
              <w:t>支持多维度过滤违规信息；中段列表按待说明/待内审等状态展示患者违规与金额等信息；右侧卡片化呈现病例、违规记录、规则原文及处理方案，并支持拍照、历史申诉一键导入快速自证；且支持自动申诉，并可查看该违规的建议处理方案。</w:t>
            </w:r>
          </w:p>
        </w:tc>
      </w:tr>
      <w:tr w14:paraId="211C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22D2C1EA">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0A65F1F9">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04008745">
            <w:pPr>
              <w:spacing w:after="0" w:line="240" w:lineRule="auto"/>
              <w:jc w:val="center"/>
              <w:rPr>
                <w:rFonts w:hint="eastAsia" w:ascii="宋体" w:hAnsi="宋体" w:cs="宋体"/>
                <w:kern w:val="0"/>
                <w:szCs w:val="24"/>
              </w:rPr>
            </w:pPr>
            <w:r>
              <w:rPr>
                <w:rFonts w:hint="eastAsia" w:ascii="宋体" w:hAnsi="宋体" w:cs="宋体"/>
                <w:kern w:val="0"/>
                <w:szCs w:val="24"/>
              </w:rPr>
              <w:t>记账科</w:t>
            </w:r>
          </w:p>
        </w:tc>
        <w:tc>
          <w:tcPr>
            <w:tcW w:w="5954" w:type="dxa"/>
            <w:tcBorders>
              <w:top w:val="single" w:color="auto" w:sz="4" w:space="0"/>
              <w:left w:val="single" w:color="auto" w:sz="4" w:space="0"/>
              <w:bottom w:val="single" w:color="auto" w:sz="4" w:space="0"/>
              <w:right w:val="single" w:color="auto" w:sz="4" w:space="0"/>
            </w:tcBorders>
            <w:vAlign w:val="center"/>
          </w:tcPr>
          <w:p w14:paraId="2352232E">
            <w:pPr>
              <w:spacing w:after="0" w:line="240" w:lineRule="auto"/>
              <w:jc w:val="left"/>
              <w:rPr>
                <w:rFonts w:hint="eastAsia" w:ascii="宋体" w:hAnsi="宋体" w:cs="宋体"/>
                <w:kern w:val="0"/>
                <w:szCs w:val="24"/>
                <w:shd w:val="pct15" w:color="auto" w:fill="FFFFFF"/>
                <w:lang w:val="zh-CN"/>
              </w:rPr>
            </w:pPr>
            <w:r>
              <w:rPr>
                <w:rFonts w:hint="eastAsia" w:ascii="宋体" w:hAnsi="宋体" w:cs="宋体"/>
                <w:kern w:val="0"/>
                <w:szCs w:val="24"/>
              </w:rPr>
              <w:t>功能类似医生站和护士站，以记账科的视角，多维度过滤违规信息；中段列表按待说明/待内审等状态展示患者违规与金额等信息；右侧卡片化呈现病例、违规记录、规则原文及处理方案，并支持拍照、历史申诉一键导入快速自证；且支持自动申诉，并可查看该违规的建议处理方案。</w:t>
            </w:r>
          </w:p>
        </w:tc>
      </w:tr>
      <w:tr w14:paraId="464FA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5AF35E1C">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456E4438">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323BEF56">
            <w:pPr>
              <w:spacing w:after="0" w:line="240" w:lineRule="auto"/>
              <w:jc w:val="center"/>
              <w:rPr>
                <w:rFonts w:hint="eastAsia" w:ascii="宋体" w:hAnsi="宋体" w:cs="宋体"/>
                <w:kern w:val="0"/>
                <w:szCs w:val="24"/>
              </w:rPr>
            </w:pPr>
            <w:r>
              <w:rPr>
                <w:rFonts w:hint="eastAsia" w:ascii="宋体" w:hAnsi="宋体" w:cs="宋体"/>
                <w:kern w:val="0"/>
                <w:szCs w:val="24"/>
              </w:rPr>
              <w:t>检验科</w:t>
            </w:r>
          </w:p>
        </w:tc>
        <w:tc>
          <w:tcPr>
            <w:tcW w:w="5954" w:type="dxa"/>
            <w:tcBorders>
              <w:top w:val="single" w:color="auto" w:sz="4" w:space="0"/>
              <w:left w:val="single" w:color="auto" w:sz="4" w:space="0"/>
              <w:bottom w:val="single" w:color="auto" w:sz="4" w:space="0"/>
              <w:right w:val="single" w:color="auto" w:sz="4" w:space="0"/>
            </w:tcBorders>
            <w:vAlign w:val="center"/>
          </w:tcPr>
          <w:p w14:paraId="40598BA9">
            <w:pPr>
              <w:spacing w:after="0" w:line="240" w:lineRule="auto"/>
              <w:jc w:val="left"/>
              <w:rPr>
                <w:rFonts w:hint="eastAsia" w:ascii="宋体" w:hAnsi="宋体" w:cs="宋体"/>
                <w:kern w:val="0"/>
                <w:szCs w:val="24"/>
                <w:shd w:val="pct15" w:color="auto" w:fill="FFFFFF"/>
              </w:rPr>
            </w:pPr>
            <w:r>
              <w:rPr>
                <w:rFonts w:hint="eastAsia" w:ascii="宋体" w:hAnsi="宋体" w:cs="宋体"/>
                <w:kern w:val="0"/>
                <w:szCs w:val="24"/>
              </w:rPr>
              <w:t>功能类似医生站和护士站，以检验科的视角，多维度过滤违规信息；中段列表按待说明/待内审等状态展示患者违规与金额等信息；右侧卡片化呈现病例、违规记录、规则原文及处理方案，并支持拍照、历史申诉一键导入快速自证；且支持自动申诉，并可查看该违规的建议处理方案。</w:t>
            </w:r>
          </w:p>
        </w:tc>
      </w:tr>
      <w:tr w14:paraId="610A4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79F6C6CF">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0B35F80D">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3079C026">
            <w:pPr>
              <w:spacing w:after="0" w:line="240" w:lineRule="auto"/>
              <w:jc w:val="center"/>
              <w:rPr>
                <w:rFonts w:hint="eastAsia" w:ascii="宋体" w:hAnsi="宋体" w:cs="宋体"/>
                <w:kern w:val="0"/>
                <w:szCs w:val="24"/>
              </w:rPr>
            </w:pPr>
            <w:r>
              <w:rPr>
                <w:rFonts w:hint="eastAsia" w:ascii="宋体" w:hAnsi="宋体" w:cs="宋体"/>
                <w:kern w:val="0"/>
                <w:szCs w:val="24"/>
              </w:rPr>
              <w:t>每日预审</w:t>
            </w:r>
          </w:p>
        </w:tc>
        <w:tc>
          <w:tcPr>
            <w:tcW w:w="5954" w:type="dxa"/>
            <w:tcBorders>
              <w:top w:val="single" w:color="auto" w:sz="4" w:space="0"/>
              <w:left w:val="single" w:color="auto" w:sz="4" w:space="0"/>
              <w:bottom w:val="single" w:color="auto" w:sz="4" w:space="0"/>
              <w:right w:val="single" w:color="auto" w:sz="4" w:space="0"/>
            </w:tcBorders>
            <w:vAlign w:val="center"/>
          </w:tcPr>
          <w:p w14:paraId="49CD38D6">
            <w:pPr>
              <w:spacing w:after="0" w:line="240" w:lineRule="auto"/>
              <w:jc w:val="left"/>
              <w:rPr>
                <w:rFonts w:hint="eastAsia" w:ascii="宋体" w:hAnsi="宋体" w:cs="宋体"/>
                <w:kern w:val="0"/>
                <w:szCs w:val="24"/>
              </w:rPr>
            </w:pPr>
            <w:r>
              <w:rPr>
                <w:rFonts w:hint="eastAsia" w:ascii="宋体" w:hAnsi="宋体" w:cs="宋体"/>
                <w:kern w:val="0"/>
                <w:szCs w:val="24"/>
              </w:rPr>
              <w:t>在院病人的费用违规明细和就诊信息。能够根据开单科室、违规类型、违规等级、时间等条件进行查询，同时支持导出功能，</w:t>
            </w:r>
            <w:r>
              <w:rPr>
                <w:rFonts w:hint="eastAsia" w:ascii="宋体" w:hAnsi="宋体" w:cs="宋体"/>
                <w:kern w:val="0"/>
                <w:szCs w:val="24"/>
                <w:lang w:val="zh-CN"/>
              </w:rPr>
              <w:t>且支持自动申诉</w:t>
            </w:r>
            <w:r>
              <w:rPr>
                <w:rFonts w:hint="eastAsia" w:ascii="宋体" w:hAnsi="宋体" w:cs="宋体"/>
                <w:kern w:val="0"/>
                <w:szCs w:val="24"/>
              </w:rPr>
              <w:t>。</w:t>
            </w:r>
          </w:p>
        </w:tc>
      </w:tr>
      <w:tr w14:paraId="49B61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62EEEFDE">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0374FAEF">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39CB49CA">
            <w:pPr>
              <w:spacing w:after="0" w:line="240" w:lineRule="auto"/>
              <w:jc w:val="center"/>
              <w:rPr>
                <w:rFonts w:hint="eastAsia" w:ascii="宋体" w:hAnsi="宋体" w:cs="宋体"/>
                <w:kern w:val="0"/>
                <w:szCs w:val="24"/>
              </w:rPr>
            </w:pPr>
            <w:r>
              <w:rPr>
                <w:rFonts w:hint="eastAsia" w:ascii="宋体" w:hAnsi="宋体" w:cs="宋体"/>
                <w:kern w:val="0"/>
                <w:szCs w:val="24"/>
              </w:rPr>
              <w:t>内审违规说明</w:t>
            </w:r>
          </w:p>
        </w:tc>
        <w:tc>
          <w:tcPr>
            <w:tcW w:w="5954" w:type="dxa"/>
            <w:tcBorders>
              <w:top w:val="single" w:color="auto" w:sz="4" w:space="0"/>
              <w:left w:val="single" w:color="auto" w:sz="4" w:space="0"/>
              <w:bottom w:val="single" w:color="auto" w:sz="4" w:space="0"/>
              <w:right w:val="single" w:color="auto" w:sz="4" w:space="0"/>
            </w:tcBorders>
            <w:vAlign w:val="center"/>
          </w:tcPr>
          <w:p w14:paraId="46DA8F3E">
            <w:pPr>
              <w:spacing w:after="0" w:line="240" w:lineRule="auto"/>
              <w:jc w:val="left"/>
              <w:rPr>
                <w:rFonts w:hint="eastAsia" w:ascii="宋体" w:hAnsi="宋体" w:cs="宋体"/>
                <w:kern w:val="0"/>
                <w:szCs w:val="24"/>
                <w:lang w:val="zh-CN"/>
              </w:rPr>
            </w:pPr>
            <w:r>
              <w:rPr>
                <w:rFonts w:hint="eastAsia" w:ascii="宋体" w:hAnsi="宋体" w:cs="宋体"/>
                <w:kern w:val="0"/>
                <w:szCs w:val="24"/>
              </w:rPr>
              <w:t>内审违规说明，用一张总表把门诊住院出院违规按待审/已采纳/退回分组，可切费用或组排序；左侧多维筛选，右侧即点即看申诉并一键采纳或退回，另配一键开启紧急出院通道。</w:t>
            </w:r>
          </w:p>
        </w:tc>
      </w:tr>
      <w:tr w14:paraId="352E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restart"/>
            <w:tcBorders>
              <w:left w:val="single" w:color="auto" w:sz="4" w:space="0"/>
              <w:right w:val="single" w:color="auto" w:sz="4" w:space="0"/>
            </w:tcBorders>
            <w:vAlign w:val="center"/>
          </w:tcPr>
          <w:p w14:paraId="6940C13D">
            <w:pPr>
              <w:spacing w:after="0" w:line="240" w:lineRule="auto"/>
              <w:jc w:val="center"/>
              <w:rPr>
                <w:rFonts w:hint="eastAsia" w:ascii="宋体" w:hAnsi="宋体" w:cs="宋体"/>
                <w:kern w:val="0"/>
                <w:szCs w:val="24"/>
                <w:lang w:val="zh-CN"/>
              </w:rPr>
            </w:pPr>
            <w:bookmarkStart w:id="2" w:name="_Hlk219382545"/>
            <w:r>
              <w:rPr>
                <w:rFonts w:hint="eastAsia" w:ascii="宋体" w:hAnsi="宋体" w:cs="宋体"/>
                <w:kern w:val="0"/>
                <w:szCs w:val="24"/>
                <w:lang w:val="zh-CN"/>
              </w:rPr>
              <w:t>3</w:t>
            </w:r>
          </w:p>
        </w:tc>
        <w:tc>
          <w:tcPr>
            <w:tcW w:w="1134" w:type="dxa"/>
            <w:vMerge w:val="restart"/>
            <w:tcBorders>
              <w:left w:val="single" w:color="auto" w:sz="4" w:space="0"/>
              <w:right w:val="single" w:color="auto" w:sz="4" w:space="0"/>
            </w:tcBorders>
            <w:vAlign w:val="center"/>
          </w:tcPr>
          <w:p w14:paraId="74423FF0">
            <w:pPr>
              <w:spacing w:after="0" w:line="240" w:lineRule="auto"/>
              <w:jc w:val="center"/>
              <w:rPr>
                <w:rFonts w:hint="eastAsia" w:ascii="宋体" w:hAnsi="宋体" w:cs="宋体"/>
                <w:kern w:val="0"/>
                <w:szCs w:val="24"/>
                <w:lang w:val="zh-CN"/>
              </w:rPr>
            </w:pPr>
            <w:r>
              <w:rPr>
                <w:rFonts w:hint="eastAsia" w:ascii="宋体" w:hAnsi="宋体" w:cs="宋体"/>
                <w:kern w:val="0"/>
                <w:szCs w:val="24"/>
                <w:lang w:val="zh-CN"/>
              </w:rPr>
              <w:t>综合分析管理</w:t>
            </w:r>
          </w:p>
        </w:tc>
        <w:tc>
          <w:tcPr>
            <w:tcW w:w="1701" w:type="dxa"/>
            <w:tcBorders>
              <w:top w:val="single" w:color="auto" w:sz="4" w:space="0"/>
              <w:left w:val="single" w:color="auto" w:sz="4" w:space="0"/>
              <w:bottom w:val="single" w:color="auto" w:sz="4" w:space="0"/>
              <w:right w:val="single" w:color="auto" w:sz="4" w:space="0"/>
            </w:tcBorders>
            <w:vAlign w:val="center"/>
          </w:tcPr>
          <w:p w14:paraId="2C9BC0EA">
            <w:pPr>
              <w:spacing w:after="0" w:line="240" w:lineRule="auto"/>
              <w:jc w:val="center"/>
              <w:rPr>
                <w:rFonts w:hint="eastAsia" w:ascii="宋体" w:hAnsi="宋体" w:cs="宋体"/>
                <w:kern w:val="0"/>
                <w:szCs w:val="24"/>
              </w:rPr>
            </w:pPr>
            <w:r>
              <w:rPr>
                <w:rFonts w:hint="eastAsia" w:cs="宋体"/>
                <w:kern w:val="0"/>
                <w:szCs w:val="24"/>
              </w:rPr>
              <w:t>▲</w:t>
            </w:r>
            <w:r>
              <w:rPr>
                <w:rFonts w:hint="eastAsia" w:ascii="宋体" w:hAnsi="宋体" w:cs="宋体"/>
                <w:kern w:val="0"/>
                <w:szCs w:val="24"/>
                <w:lang w:val="zh-CN"/>
              </w:rPr>
              <w:t>违规趋势</w:t>
            </w:r>
            <w:r>
              <w:rPr>
                <w:rFonts w:hint="eastAsia" w:ascii="宋体" w:hAnsi="宋体" w:cs="宋体"/>
                <w:kern w:val="0"/>
                <w:szCs w:val="24"/>
              </w:rPr>
              <w:t>汇总</w:t>
            </w:r>
          </w:p>
        </w:tc>
        <w:tc>
          <w:tcPr>
            <w:tcW w:w="5954" w:type="dxa"/>
            <w:tcBorders>
              <w:top w:val="single" w:color="auto" w:sz="4" w:space="0"/>
              <w:left w:val="single" w:color="auto" w:sz="4" w:space="0"/>
              <w:bottom w:val="single" w:color="auto" w:sz="4" w:space="0"/>
              <w:right w:val="single" w:color="auto" w:sz="4" w:space="0"/>
            </w:tcBorders>
            <w:vAlign w:val="center"/>
          </w:tcPr>
          <w:p w14:paraId="6E44AC0B">
            <w:pPr>
              <w:spacing w:after="0" w:line="240" w:lineRule="auto"/>
              <w:jc w:val="left"/>
              <w:rPr>
                <w:rFonts w:hint="eastAsia" w:ascii="宋体" w:hAnsi="宋体" w:cs="宋体"/>
                <w:kern w:val="0"/>
                <w:szCs w:val="24"/>
              </w:rPr>
            </w:pPr>
            <w:r>
              <w:rPr>
                <w:rFonts w:hint="eastAsia" w:ascii="宋体" w:hAnsi="宋体" w:cs="宋体"/>
                <w:kern w:val="0"/>
                <w:szCs w:val="24"/>
              </w:rPr>
              <w:t>提供系统运行简报，并且对事前预警、事中控制、事后核查与预警趋势进行统计分析。</w:t>
            </w:r>
          </w:p>
          <w:p w14:paraId="5B89166F">
            <w:pPr>
              <w:spacing w:after="0" w:line="240" w:lineRule="auto"/>
              <w:jc w:val="left"/>
              <w:rPr>
                <w:rFonts w:hint="eastAsia" w:ascii="宋体" w:hAnsi="宋体" w:cs="宋体"/>
                <w:kern w:val="0"/>
                <w:szCs w:val="24"/>
              </w:rPr>
            </w:pPr>
            <w:r>
              <w:rPr>
                <w:rFonts w:hint="eastAsia" w:ascii="宋体" w:hAnsi="宋体"/>
                <w:kern w:val="0"/>
                <w:szCs w:val="24"/>
              </w:rPr>
              <w:t>（投标人需提供与以上功能相关系统操作界面截图或视频文件）</w:t>
            </w:r>
          </w:p>
        </w:tc>
      </w:tr>
      <w:tr w14:paraId="6A05B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54A3DCD3">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2D5B628B">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25E04ACF">
            <w:pPr>
              <w:spacing w:after="0" w:line="240" w:lineRule="auto"/>
              <w:jc w:val="center"/>
              <w:rPr>
                <w:rFonts w:hint="eastAsia" w:ascii="宋体" w:hAnsi="宋体" w:cs="宋体"/>
                <w:kern w:val="0"/>
                <w:szCs w:val="24"/>
              </w:rPr>
            </w:pPr>
            <w:r>
              <w:rPr>
                <w:rFonts w:hint="eastAsia" w:ascii="宋体" w:hAnsi="宋体" w:cs="宋体"/>
                <w:kern w:val="0"/>
                <w:szCs w:val="24"/>
              </w:rPr>
              <w:t>▲</w:t>
            </w:r>
            <w:r>
              <w:rPr>
                <w:rFonts w:hint="eastAsia" w:ascii="宋体" w:hAnsi="宋体" w:cs="宋体"/>
                <w:kern w:val="0"/>
                <w:szCs w:val="24"/>
                <w:lang w:val="zh-CN"/>
              </w:rPr>
              <w:t>在院违规分析</w:t>
            </w:r>
          </w:p>
        </w:tc>
        <w:tc>
          <w:tcPr>
            <w:tcW w:w="5954" w:type="dxa"/>
            <w:tcBorders>
              <w:top w:val="single" w:color="auto" w:sz="4" w:space="0"/>
              <w:left w:val="single" w:color="auto" w:sz="4" w:space="0"/>
              <w:bottom w:val="single" w:color="auto" w:sz="4" w:space="0"/>
              <w:right w:val="single" w:color="auto" w:sz="4" w:space="0"/>
            </w:tcBorders>
            <w:vAlign w:val="center"/>
          </w:tcPr>
          <w:p w14:paraId="28A2B8A6">
            <w:pPr>
              <w:spacing w:after="0" w:line="240" w:lineRule="auto"/>
              <w:jc w:val="left"/>
              <w:rPr>
                <w:rFonts w:hint="eastAsia" w:ascii="宋体" w:hAnsi="宋体" w:cs="宋体"/>
                <w:kern w:val="0"/>
                <w:szCs w:val="24"/>
              </w:rPr>
            </w:pPr>
            <w:r>
              <w:rPr>
                <w:rFonts w:hint="eastAsia" w:ascii="宋体" w:hAnsi="宋体" w:cs="宋体"/>
                <w:kern w:val="0"/>
                <w:szCs w:val="24"/>
              </w:rPr>
              <w:t>1.支持在院重点指标监测展示，提供总违规人次、总违规金额、处理进度、1级明确违规、2级高度可疑和超限定疗程等信息的数据的展示。2.以饼状图展示在院违规病区分布数据。3.支持统计展示在院全部病区数据，包括：违规项目占比（项诊疗目、药品、耗材）、科室违规情况、开单医师违规情况等信息。</w:t>
            </w:r>
          </w:p>
          <w:p w14:paraId="05927CCB">
            <w:pPr>
              <w:spacing w:after="0" w:line="240" w:lineRule="auto"/>
              <w:jc w:val="left"/>
              <w:rPr>
                <w:rFonts w:hint="eastAsia" w:ascii="宋体" w:hAnsi="宋体" w:cs="宋体"/>
                <w:kern w:val="0"/>
                <w:szCs w:val="24"/>
              </w:rPr>
            </w:pPr>
            <w:r>
              <w:rPr>
                <w:rFonts w:hint="eastAsia" w:ascii="宋体" w:hAnsi="宋体" w:cs="宋体"/>
                <w:kern w:val="0"/>
                <w:szCs w:val="24"/>
              </w:rPr>
              <w:t>并支持按预警级别、数据类型、规则类型进行筛查。</w:t>
            </w:r>
          </w:p>
          <w:p w14:paraId="5FCA2BF8">
            <w:pPr>
              <w:spacing w:after="0" w:line="240" w:lineRule="auto"/>
              <w:jc w:val="left"/>
              <w:rPr>
                <w:rFonts w:hint="eastAsia" w:ascii="宋体" w:hAnsi="宋体"/>
                <w:kern w:val="0"/>
                <w:szCs w:val="24"/>
              </w:rPr>
            </w:pPr>
            <w:r>
              <w:rPr>
                <w:rFonts w:hint="eastAsia" w:ascii="宋体" w:hAnsi="宋体"/>
                <w:kern w:val="0"/>
                <w:szCs w:val="24"/>
              </w:rPr>
              <w:t>（投标人需提供与以上功能相关系统操作界面截图或视频文件）</w:t>
            </w:r>
          </w:p>
        </w:tc>
      </w:tr>
      <w:tr w14:paraId="55A8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78C0B488">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13DABDBE">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49ADF113">
            <w:pPr>
              <w:spacing w:after="0" w:line="240" w:lineRule="auto"/>
              <w:jc w:val="center"/>
              <w:rPr>
                <w:rFonts w:hint="eastAsia" w:ascii="宋体" w:hAnsi="宋体" w:cs="宋体"/>
                <w:kern w:val="0"/>
                <w:szCs w:val="24"/>
              </w:rPr>
            </w:pPr>
            <w:r>
              <w:rPr>
                <w:rFonts w:hint="eastAsia" w:ascii="宋体" w:hAnsi="宋体" w:cs="宋体"/>
                <w:kern w:val="0"/>
                <w:szCs w:val="24"/>
                <w:lang w:val="zh-CN"/>
              </w:rPr>
              <w:t>科室违规分析</w:t>
            </w:r>
          </w:p>
        </w:tc>
        <w:tc>
          <w:tcPr>
            <w:tcW w:w="5954" w:type="dxa"/>
            <w:tcBorders>
              <w:top w:val="single" w:color="auto" w:sz="4" w:space="0"/>
              <w:left w:val="single" w:color="auto" w:sz="4" w:space="0"/>
              <w:bottom w:val="single" w:color="auto" w:sz="4" w:space="0"/>
              <w:right w:val="single" w:color="auto" w:sz="4" w:space="0"/>
            </w:tcBorders>
            <w:vAlign w:val="center"/>
          </w:tcPr>
          <w:p w14:paraId="31063195">
            <w:pPr>
              <w:spacing w:after="0" w:line="240" w:lineRule="auto"/>
              <w:rPr>
                <w:rFonts w:hint="eastAsia" w:ascii="宋体" w:hAnsi="宋体"/>
                <w:kern w:val="0"/>
                <w:szCs w:val="24"/>
              </w:rPr>
            </w:pPr>
            <w:r>
              <w:rPr>
                <w:rFonts w:hint="eastAsia" w:ascii="宋体" w:hAnsi="宋体"/>
                <w:kern w:val="0"/>
                <w:szCs w:val="24"/>
              </w:rPr>
              <w:t>支持1、医院违规趋势；2、各科室违规人次排名；3、未处理违规明细的项目、人次、占比和金额的各科室对比（支持同比环比）；4、各科室下违规明细等统计分析功能。</w:t>
            </w:r>
          </w:p>
        </w:tc>
      </w:tr>
      <w:tr w14:paraId="25FB0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4B91B1B8">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2F5BB3FD">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6C14CA13">
            <w:pPr>
              <w:spacing w:after="0" w:line="240" w:lineRule="auto"/>
              <w:jc w:val="center"/>
              <w:rPr>
                <w:rFonts w:hint="eastAsia" w:ascii="宋体" w:hAnsi="宋体" w:cs="宋体"/>
                <w:kern w:val="0"/>
                <w:szCs w:val="24"/>
              </w:rPr>
            </w:pPr>
            <w:r>
              <w:rPr>
                <w:rFonts w:hint="eastAsia" w:ascii="宋体" w:hAnsi="宋体" w:cs="宋体"/>
                <w:kern w:val="0"/>
                <w:szCs w:val="24"/>
                <w:lang w:val="zh-CN"/>
              </w:rPr>
              <w:t>医生违规分析</w:t>
            </w:r>
          </w:p>
        </w:tc>
        <w:tc>
          <w:tcPr>
            <w:tcW w:w="5954" w:type="dxa"/>
            <w:tcBorders>
              <w:top w:val="single" w:color="auto" w:sz="4" w:space="0"/>
              <w:left w:val="single" w:color="auto" w:sz="4" w:space="0"/>
              <w:bottom w:val="single" w:color="auto" w:sz="4" w:space="0"/>
              <w:right w:val="single" w:color="auto" w:sz="4" w:space="0"/>
            </w:tcBorders>
            <w:vAlign w:val="center"/>
          </w:tcPr>
          <w:p w14:paraId="74991A95">
            <w:pPr>
              <w:spacing w:after="0" w:line="240" w:lineRule="auto"/>
              <w:jc w:val="left"/>
              <w:rPr>
                <w:rFonts w:hint="eastAsia" w:ascii="宋体" w:hAnsi="宋体"/>
                <w:kern w:val="0"/>
              </w:rPr>
            </w:pPr>
            <w:r>
              <w:rPr>
                <w:rFonts w:hint="eastAsia" w:ascii="宋体" w:hAnsi="宋体"/>
                <w:kern w:val="0"/>
              </w:rPr>
              <w:t>提供：</w:t>
            </w:r>
            <w:r>
              <w:rPr>
                <w:rFonts w:hint="eastAsia" w:ascii="宋体" w:hAnsi="宋体"/>
                <w:kern w:val="0"/>
                <w:szCs w:val="24"/>
              </w:rPr>
              <w:t>1、医院违规趋势；</w:t>
            </w:r>
          </w:p>
          <w:p w14:paraId="309DC4AF">
            <w:pPr>
              <w:spacing w:after="0" w:line="240" w:lineRule="auto"/>
              <w:rPr>
                <w:rFonts w:hint="eastAsia" w:ascii="宋体" w:hAnsi="宋体"/>
                <w:kern w:val="0"/>
                <w:szCs w:val="24"/>
              </w:rPr>
            </w:pPr>
            <w:r>
              <w:rPr>
                <w:rFonts w:hint="eastAsia" w:ascii="宋体" w:hAnsi="宋体"/>
                <w:kern w:val="0"/>
                <w:szCs w:val="24"/>
              </w:rPr>
              <w:t>2、各医生违规人次排名；</w:t>
            </w:r>
          </w:p>
          <w:p w14:paraId="2F8F3F79">
            <w:pPr>
              <w:spacing w:after="0" w:line="240" w:lineRule="auto"/>
              <w:rPr>
                <w:rFonts w:hint="eastAsia" w:ascii="宋体" w:hAnsi="宋体"/>
                <w:kern w:val="0"/>
                <w:szCs w:val="24"/>
              </w:rPr>
            </w:pPr>
            <w:r>
              <w:rPr>
                <w:rFonts w:hint="eastAsia" w:ascii="宋体" w:hAnsi="宋体"/>
                <w:kern w:val="0"/>
                <w:szCs w:val="24"/>
              </w:rPr>
              <w:t>3、未处理违规明细的项目、人次、占比和金额的各医生对比（支持同比环比）；</w:t>
            </w:r>
          </w:p>
          <w:p w14:paraId="2582CCE4">
            <w:pPr>
              <w:spacing w:after="0" w:line="240" w:lineRule="auto"/>
              <w:rPr>
                <w:rFonts w:hint="eastAsia" w:ascii="宋体" w:hAnsi="宋体"/>
                <w:kern w:val="0"/>
                <w:szCs w:val="24"/>
              </w:rPr>
            </w:pPr>
            <w:r>
              <w:rPr>
                <w:rFonts w:hint="eastAsia" w:ascii="宋体" w:hAnsi="宋体"/>
                <w:kern w:val="0"/>
                <w:szCs w:val="24"/>
              </w:rPr>
              <w:t>4、各医生违规明细等统计分析功能。</w:t>
            </w:r>
          </w:p>
        </w:tc>
      </w:tr>
      <w:tr w14:paraId="7CFC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2A893B2E">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6DB0151F">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1727360F">
            <w:pPr>
              <w:spacing w:after="0" w:line="240" w:lineRule="auto"/>
              <w:jc w:val="center"/>
              <w:rPr>
                <w:rFonts w:hint="eastAsia" w:ascii="宋体" w:hAnsi="宋体" w:cs="宋体"/>
                <w:kern w:val="0"/>
                <w:szCs w:val="24"/>
              </w:rPr>
            </w:pPr>
            <w:r>
              <w:rPr>
                <w:rFonts w:hint="eastAsia" w:ascii="宋体" w:hAnsi="宋体" w:cs="宋体"/>
                <w:kern w:val="0"/>
                <w:szCs w:val="24"/>
                <w:lang w:val="zh-CN"/>
              </w:rPr>
              <w:t>项目违规分析</w:t>
            </w:r>
          </w:p>
        </w:tc>
        <w:tc>
          <w:tcPr>
            <w:tcW w:w="5954" w:type="dxa"/>
            <w:tcBorders>
              <w:top w:val="single" w:color="auto" w:sz="4" w:space="0"/>
              <w:left w:val="single" w:color="auto" w:sz="4" w:space="0"/>
              <w:bottom w:val="single" w:color="auto" w:sz="4" w:space="0"/>
              <w:right w:val="single" w:color="auto" w:sz="4" w:space="0"/>
            </w:tcBorders>
            <w:vAlign w:val="center"/>
          </w:tcPr>
          <w:p w14:paraId="56519139">
            <w:pPr>
              <w:spacing w:after="0" w:line="240" w:lineRule="auto"/>
              <w:jc w:val="left"/>
              <w:rPr>
                <w:rFonts w:hint="eastAsia" w:ascii="宋体" w:hAnsi="宋体"/>
                <w:kern w:val="0"/>
              </w:rPr>
            </w:pPr>
            <w:r>
              <w:rPr>
                <w:rFonts w:hint="eastAsia" w:ascii="宋体" w:hAnsi="宋体"/>
                <w:kern w:val="0"/>
              </w:rPr>
              <w:t>支持：</w:t>
            </w:r>
          </w:p>
          <w:p w14:paraId="123D2541">
            <w:pPr>
              <w:numPr>
                <w:ilvl w:val="0"/>
                <w:numId w:val="1"/>
              </w:numPr>
              <w:spacing w:after="0" w:line="240" w:lineRule="auto"/>
              <w:jc w:val="left"/>
              <w:rPr>
                <w:rFonts w:hint="eastAsia" w:ascii="宋体" w:hAnsi="宋体"/>
                <w:kern w:val="0"/>
                <w:szCs w:val="24"/>
              </w:rPr>
            </w:pPr>
            <w:r>
              <w:rPr>
                <w:rFonts w:hint="eastAsia" w:ascii="宋体" w:hAnsi="宋体"/>
                <w:kern w:val="0"/>
                <w:szCs w:val="24"/>
              </w:rPr>
              <w:t>违规项目大类Top5占比</w:t>
            </w:r>
          </w:p>
          <w:p w14:paraId="4ECAF785">
            <w:pPr>
              <w:numPr>
                <w:ilvl w:val="0"/>
                <w:numId w:val="1"/>
              </w:numPr>
              <w:spacing w:after="0" w:line="240" w:lineRule="auto"/>
              <w:jc w:val="left"/>
              <w:rPr>
                <w:rFonts w:hint="eastAsia" w:ascii="宋体" w:hAnsi="宋体"/>
                <w:kern w:val="0"/>
                <w:szCs w:val="24"/>
              </w:rPr>
            </w:pPr>
            <w:r>
              <w:rPr>
                <w:rFonts w:hint="eastAsia" w:ascii="宋体" w:hAnsi="宋体"/>
                <w:kern w:val="0"/>
                <w:szCs w:val="24"/>
              </w:rPr>
              <w:t>违规项目Top5占比</w:t>
            </w:r>
          </w:p>
          <w:p w14:paraId="5B86790A">
            <w:pPr>
              <w:numPr>
                <w:ilvl w:val="0"/>
                <w:numId w:val="1"/>
              </w:numPr>
              <w:spacing w:after="0" w:line="240" w:lineRule="auto"/>
              <w:jc w:val="left"/>
              <w:rPr>
                <w:rFonts w:hint="eastAsia" w:ascii="宋体" w:hAnsi="宋体"/>
                <w:kern w:val="0"/>
                <w:szCs w:val="24"/>
              </w:rPr>
            </w:pPr>
            <w:r>
              <w:rPr>
                <w:rFonts w:hint="eastAsia" w:ascii="宋体" w:hAnsi="宋体"/>
                <w:kern w:val="0"/>
                <w:szCs w:val="24"/>
              </w:rPr>
              <w:t>未处理违规明细的项目、人次、占比和金额的违规项目/违规项目大类对比（支持同比环比）</w:t>
            </w:r>
          </w:p>
          <w:p w14:paraId="50DE58A9">
            <w:pPr>
              <w:numPr>
                <w:ilvl w:val="0"/>
                <w:numId w:val="1"/>
              </w:numPr>
              <w:spacing w:after="0" w:line="240" w:lineRule="auto"/>
              <w:jc w:val="left"/>
              <w:rPr>
                <w:rFonts w:hint="eastAsia" w:ascii="宋体" w:hAnsi="宋体"/>
                <w:kern w:val="0"/>
                <w:szCs w:val="24"/>
              </w:rPr>
            </w:pPr>
            <w:r>
              <w:rPr>
                <w:rFonts w:hint="eastAsia" w:ascii="宋体" w:hAnsi="宋体"/>
                <w:kern w:val="0"/>
                <w:szCs w:val="24"/>
              </w:rPr>
              <w:t>违规项目明细等统计分析功能。</w:t>
            </w:r>
          </w:p>
        </w:tc>
      </w:tr>
      <w:tr w14:paraId="36C0D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72FEC001">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3218E79E">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007A589E">
            <w:pPr>
              <w:spacing w:after="0" w:line="240" w:lineRule="auto"/>
              <w:jc w:val="center"/>
              <w:rPr>
                <w:rFonts w:hint="eastAsia" w:ascii="宋体" w:hAnsi="宋体" w:cs="宋体"/>
                <w:kern w:val="0"/>
                <w:szCs w:val="24"/>
              </w:rPr>
            </w:pPr>
            <w:r>
              <w:rPr>
                <w:rFonts w:hint="eastAsia" w:ascii="宋体" w:hAnsi="宋体" w:cs="宋体"/>
                <w:kern w:val="0"/>
                <w:szCs w:val="24"/>
                <w:lang w:val="zh-CN"/>
              </w:rPr>
              <w:t>违规处理数据分析报告</w:t>
            </w:r>
          </w:p>
        </w:tc>
        <w:tc>
          <w:tcPr>
            <w:tcW w:w="5954" w:type="dxa"/>
            <w:tcBorders>
              <w:top w:val="single" w:color="auto" w:sz="4" w:space="0"/>
              <w:left w:val="single" w:color="auto" w:sz="4" w:space="0"/>
              <w:bottom w:val="single" w:color="auto" w:sz="4" w:space="0"/>
              <w:right w:val="single" w:color="auto" w:sz="4" w:space="0"/>
            </w:tcBorders>
            <w:vAlign w:val="center"/>
          </w:tcPr>
          <w:p w14:paraId="70A64C0F">
            <w:pPr>
              <w:spacing w:after="0" w:line="240" w:lineRule="auto"/>
              <w:jc w:val="left"/>
              <w:rPr>
                <w:rFonts w:hint="eastAsia" w:ascii="宋体" w:hAnsi="宋体"/>
                <w:kern w:val="0"/>
                <w:szCs w:val="24"/>
              </w:rPr>
            </w:pPr>
            <w:r>
              <w:rPr>
                <w:rFonts w:hint="eastAsia" w:ascii="宋体" w:hAnsi="宋体" w:cs="宋体"/>
                <w:kern w:val="0"/>
                <w:szCs w:val="24"/>
              </w:rPr>
              <w:t>支持各科室违规处理进度排名，违规总金额、人次占比，已处理和未处理的违规金额、人次、占比。（可根据开单科室和考核科室统计）</w:t>
            </w:r>
          </w:p>
        </w:tc>
      </w:tr>
      <w:tr w14:paraId="67088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1E250510">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0D3FF143">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69173E86">
            <w:pPr>
              <w:spacing w:after="0" w:line="240" w:lineRule="auto"/>
              <w:jc w:val="center"/>
              <w:rPr>
                <w:rFonts w:hint="eastAsia" w:ascii="宋体" w:hAnsi="宋体" w:cs="宋体"/>
                <w:kern w:val="0"/>
                <w:szCs w:val="24"/>
                <w:lang w:val="zh-CN"/>
              </w:rPr>
            </w:pPr>
            <w:r>
              <w:rPr>
                <w:rFonts w:hint="eastAsia" w:ascii="宋体" w:hAnsi="宋体" w:cs="宋体"/>
                <w:kern w:val="0"/>
                <w:szCs w:val="24"/>
                <w:lang w:val="zh-CN"/>
              </w:rPr>
              <w:t>数据分析报告</w:t>
            </w:r>
          </w:p>
        </w:tc>
        <w:tc>
          <w:tcPr>
            <w:tcW w:w="5954" w:type="dxa"/>
            <w:tcBorders>
              <w:top w:val="single" w:color="auto" w:sz="4" w:space="0"/>
              <w:left w:val="single" w:color="auto" w:sz="4" w:space="0"/>
              <w:bottom w:val="single" w:color="auto" w:sz="4" w:space="0"/>
              <w:right w:val="single" w:color="auto" w:sz="4" w:space="0"/>
            </w:tcBorders>
            <w:vAlign w:val="center"/>
          </w:tcPr>
          <w:p w14:paraId="3BC69ACF">
            <w:pPr>
              <w:spacing w:after="0" w:line="240" w:lineRule="auto"/>
              <w:rPr>
                <w:rFonts w:hint="eastAsia" w:ascii="宋体" w:hAnsi="宋体"/>
                <w:kern w:val="0"/>
              </w:rPr>
            </w:pPr>
            <w:r>
              <w:rPr>
                <w:rFonts w:hint="eastAsia" w:ascii="宋体" w:hAnsi="宋体"/>
                <w:kern w:val="0"/>
              </w:rPr>
              <w:t>支持一键生成数据分析报告功能。</w:t>
            </w:r>
          </w:p>
          <w:p w14:paraId="4D2DC1E7">
            <w:pPr>
              <w:spacing w:after="0" w:line="240" w:lineRule="auto"/>
              <w:rPr>
                <w:rFonts w:hint="eastAsia" w:ascii="宋体" w:hAnsi="宋体"/>
                <w:kern w:val="0"/>
              </w:rPr>
            </w:pPr>
            <w:r>
              <w:rPr>
                <w:rFonts w:hint="eastAsia" w:ascii="宋体" w:hAnsi="宋体"/>
                <w:kern w:val="0"/>
              </w:rPr>
              <w:t>数据分析报告包含：总体违规概况分析、科室违规分析、医生违规分析、规则大类分析、项目违规分析、两定疑点分析、医保科工作分析等内容。</w:t>
            </w:r>
          </w:p>
          <w:p w14:paraId="6F74986D">
            <w:pPr>
              <w:spacing w:after="0" w:line="240" w:lineRule="auto"/>
              <w:rPr>
                <w:rFonts w:hint="eastAsia" w:ascii="宋体" w:hAnsi="宋体"/>
                <w:kern w:val="0"/>
              </w:rPr>
            </w:pPr>
            <w:r>
              <w:rPr>
                <w:rFonts w:hint="eastAsia" w:ascii="宋体" w:hAnsi="宋体"/>
                <w:kern w:val="0"/>
              </w:rPr>
              <w:t>支持一件导出成PDF和PPT文件</w:t>
            </w:r>
          </w:p>
        </w:tc>
      </w:tr>
      <w:tr w14:paraId="1F6FB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4C68D7E9">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6D2FED31">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62AB720D">
            <w:pPr>
              <w:spacing w:after="0" w:line="240" w:lineRule="auto"/>
              <w:jc w:val="center"/>
              <w:rPr>
                <w:rFonts w:hint="eastAsia" w:ascii="宋体" w:hAnsi="宋体" w:cs="宋体"/>
                <w:kern w:val="0"/>
                <w:szCs w:val="24"/>
              </w:rPr>
            </w:pPr>
            <w:r>
              <w:rPr>
                <w:rFonts w:hint="eastAsia" w:ascii="宋体" w:hAnsi="宋体" w:cs="宋体"/>
                <w:kern w:val="0"/>
                <w:szCs w:val="24"/>
              </w:rPr>
              <w:t>▲</w:t>
            </w:r>
            <w:r>
              <w:rPr>
                <w:rFonts w:hint="eastAsia" w:ascii="宋体" w:hAnsi="宋体" w:cs="宋体"/>
                <w:kern w:val="0"/>
                <w:szCs w:val="24"/>
                <w:lang w:val="zh-CN"/>
              </w:rPr>
              <w:t>两定年度分析</w:t>
            </w:r>
          </w:p>
        </w:tc>
        <w:tc>
          <w:tcPr>
            <w:tcW w:w="5954" w:type="dxa"/>
            <w:tcBorders>
              <w:top w:val="single" w:color="auto" w:sz="4" w:space="0"/>
              <w:left w:val="single" w:color="auto" w:sz="4" w:space="0"/>
              <w:bottom w:val="single" w:color="auto" w:sz="4" w:space="0"/>
              <w:right w:val="single" w:color="auto" w:sz="4" w:space="0"/>
            </w:tcBorders>
            <w:vAlign w:val="center"/>
          </w:tcPr>
          <w:p w14:paraId="6643434C">
            <w:pPr>
              <w:spacing w:after="0" w:line="240" w:lineRule="auto"/>
              <w:rPr>
                <w:rFonts w:hint="eastAsia" w:ascii="宋体" w:hAnsi="宋体"/>
                <w:kern w:val="0"/>
              </w:rPr>
            </w:pPr>
            <w:r>
              <w:rPr>
                <w:rFonts w:hint="eastAsia" w:ascii="宋体" w:hAnsi="宋体"/>
                <w:kern w:val="0"/>
              </w:rPr>
              <w:t>支持以图表形式展示剔除数量信息、剔除金额、剔除条数和医保扣款反馈统计表</w:t>
            </w:r>
          </w:p>
          <w:p w14:paraId="3D79AE00">
            <w:pPr>
              <w:spacing w:after="0" w:line="240" w:lineRule="auto"/>
              <w:rPr>
                <w:rFonts w:hint="eastAsia" w:ascii="宋体" w:hAnsi="宋体"/>
                <w:kern w:val="0"/>
              </w:rPr>
            </w:pPr>
            <w:r>
              <w:rPr>
                <w:rFonts w:hint="eastAsia" w:ascii="宋体" w:hAnsi="宋体"/>
                <w:kern w:val="0"/>
              </w:rPr>
              <w:t>支持按药品、按诊疗形式和按耗材进行统计</w:t>
            </w:r>
          </w:p>
          <w:p w14:paraId="0015055A">
            <w:pPr>
              <w:spacing w:after="0" w:line="240" w:lineRule="auto"/>
              <w:rPr>
                <w:rFonts w:hint="eastAsia" w:ascii="宋体" w:hAnsi="宋体"/>
                <w:kern w:val="0"/>
              </w:rPr>
            </w:pPr>
            <w:r>
              <w:rPr>
                <w:rFonts w:hint="eastAsia" w:ascii="宋体" w:hAnsi="宋体"/>
                <w:kern w:val="0"/>
              </w:rPr>
              <w:t>支持统计第一版本、最终版本和反馈率数据</w:t>
            </w:r>
          </w:p>
          <w:p w14:paraId="417B0EE2">
            <w:pPr>
              <w:spacing w:after="0" w:line="240" w:lineRule="auto"/>
              <w:rPr>
                <w:rFonts w:hint="eastAsia" w:ascii="宋体" w:hAnsi="宋体"/>
                <w:kern w:val="0"/>
              </w:rPr>
            </w:pPr>
            <w:r>
              <w:rPr>
                <w:rFonts w:hint="eastAsia" w:ascii="宋体" w:hAnsi="宋体"/>
                <w:kern w:val="0"/>
              </w:rPr>
              <w:t>支持两定年度分析统计数据导出为Word和Excel文件。</w:t>
            </w:r>
          </w:p>
          <w:p w14:paraId="28F6CEFE">
            <w:pPr>
              <w:spacing w:after="0" w:line="240" w:lineRule="auto"/>
              <w:rPr>
                <w:rFonts w:hint="eastAsia" w:ascii="宋体" w:hAnsi="宋体"/>
                <w:kern w:val="0"/>
              </w:rPr>
            </w:pPr>
            <w:r>
              <w:rPr>
                <w:rFonts w:hint="eastAsia" w:ascii="宋体" w:hAnsi="宋体"/>
                <w:kern w:val="0"/>
                <w:szCs w:val="24"/>
              </w:rPr>
              <w:t>（投标人需提供与以上功能相关系统操作界面截图或视频文件）</w:t>
            </w:r>
          </w:p>
        </w:tc>
      </w:tr>
      <w:tr w14:paraId="78138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1B5B1F08">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11C23440">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625B3385">
            <w:pPr>
              <w:spacing w:after="0" w:line="240" w:lineRule="auto"/>
              <w:jc w:val="center"/>
              <w:rPr>
                <w:rFonts w:hint="eastAsia" w:ascii="宋体" w:hAnsi="宋体" w:cs="宋体"/>
                <w:kern w:val="0"/>
                <w:szCs w:val="24"/>
              </w:rPr>
            </w:pPr>
            <w:r>
              <w:rPr>
                <w:rFonts w:hint="eastAsia" w:ascii="宋体" w:hAnsi="宋体" w:cs="宋体"/>
                <w:kern w:val="0"/>
                <w:szCs w:val="24"/>
                <w:lang w:val="zh-CN"/>
              </w:rPr>
              <w:t>两定年度科室分析</w:t>
            </w:r>
          </w:p>
        </w:tc>
        <w:tc>
          <w:tcPr>
            <w:tcW w:w="5954" w:type="dxa"/>
            <w:tcBorders>
              <w:top w:val="single" w:color="auto" w:sz="4" w:space="0"/>
              <w:left w:val="single" w:color="auto" w:sz="4" w:space="0"/>
              <w:bottom w:val="single" w:color="auto" w:sz="4" w:space="0"/>
              <w:right w:val="single" w:color="auto" w:sz="4" w:space="0"/>
            </w:tcBorders>
            <w:vAlign w:val="center"/>
          </w:tcPr>
          <w:p w14:paraId="5FD45EF7">
            <w:pPr>
              <w:spacing w:after="0" w:line="240" w:lineRule="auto"/>
              <w:rPr>
                <w:rFonts w:hint="eastAsia" w:ascii="宋体" w:hAnsi="宋体"/>
                <w:kern w:val="0"/>
              </w:rPr>
            </w:pPr>
            <w:r>
              <w:rPr>
                <w:rFonts w:hint="eastAsia" w:ascii="宋体" w:hAnsi="宋体"/>
                <w:kern w:val="0"/>
              </w:rPr>
              <w:t>支持按剔除数量、剔除金额、剔除条数对院内科室进行排名，点击可产看科室数据信息</w:t>
            </w:r>
          </w:p>
          <w:p w14:paraId="714C07EA">
            <w:pPr>
              <w:spacing w:after="0" w:line="240" w:lineRule="auto"/>
              <w:rPr>
                <w:rFonts w:hint="eastAsia" w:ascii="宋体" w:hAnsi="宋体"/>
                <w:kern w:val="0"/>
              </w:rPr>
            </w:pPr>
            <w:r>
              <w:rPr>
                <w:rFonts w:hint="eastAsia" w:ascii="宋体" w:hAnsi="宋体"/>
                <w:kern w:val="0"/>
              </w:rPr>
              <w:t>支持以图表形式展示各科室的剔除数量信息、剔除金额、剔除条数和医保扣款反馈统计表</w:t>
            </w:r>
          </w:p>
          <w:p w14:paraId="0CD88237">
            <w:pPr>
              <w:spacing w:after="0" w:line="240" w:lineRule="auto"/>
              <w:rPr>
                <w:rFonts w:hint="eastAsia" w:ascii="宋体" w:hAnsi="宋体"/>
                <w:kern w:val="0"/>
              </w:rPr>
            </w:pPr>
            <w:r>
              <w:rPr>
                <w:rFonts w:hint="eastAsia" w:ascii="宋体" w:hAnsi="宋体"/>
                <w:kern w:val="0"/>
              </w:rPr>
              <w:t>支持按药品、按诊疗形式和按耗材进行统计</w:t>
            </w:r>
          </w:p>
          <w:p w14:paraId="6908222A">
            <w:pPr>
              <w:spacing w:after="0" w:line="240" w:lineRule="auto"/>
              <w:rPr>
                <w:rFonts w:hint="eastAsia" w:ascii="宋体" w:hAnsi="宋体"/>
                <w:kern w:val="0"/>
              </w:rPr>
            </w:pPr>
            <w:r>
              <w:rPr>
                <w:rFonts w:hint="eastAsia" w:ascii="宋体" w:hAnsi="宋体"/>
                <w:kern w:val="0"/>
              </w:rPr>
              <w:t>支持统计第一版本、最终版本和反馈率数据</w:t>
            </w:r>
          </w:p>
        </w:tc>
      </w:tr>
      <w:tr w14:paraId="70E5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2083C24C">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79C1A3D0">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14B66A56">
            <w:pPr>
              <w:spacing w:after="0" w:line="240" w:lineRule="auto"/>
              <w:jc w:val="center"/>
              <w:rPr>
                <w:rFonts w:hint="eastAsia" w:ascii="宋体" w:hAnsi="宋体" w:cs="宋体"/>
                <w:kern w:val="0"/>
                <w:szCs w:val="24"/>
              </w:rPr>
            </w:pPr>
            <w:r>
              <w:rPr>
                <w:rFonts w:hint="eastAsia" w:ascii="宋体" w:hAnsi="宋体" w:cs="宋体"/>
                <w:kern w:val="0"/>
                <w:szCs w:val="24"/>
                <w:lang w:val="zh-CN"/>
              </w:rPr>
              <w:t>两定年度医生分析</w:t>
            </w:r>
          </w:p>
        </w:tc>
        <w:tc>
          <w:tcPr>
            <w:tcW w:w="5954" w:type="dxa"/>
            <w:tcBorders>
              <w:top w:val="single" w:color="auto" w:sz="4" w:space="0"/>
              <w:left w:val="single" w:color="auto" w:sz="4" w:space="0"/>
              <w:bottom w:val="single" w:color="auto" w:sz="4" w:space="0"/>
              <w:right w:val="single" w:color="auto" w:sz="4" w:space="0"/>
            </w:tcBorders>
            <w:vAlign w:val="center"/>
          </w:tcPr>
          <w:p w14:paraId="351A1DD0">
            <w:pPr>
              <w:spacing w:after="0" w:line="240" w:lineRule="auto"/>
              <w:rPr>
                <w:rFonts w:hint="eastAsia" w:ascii="宋体" w:hAnsi="宋体"/>
                <w:kern w:val="0"/>
              </w:rPr>
            </w:pPr>
            <w:r>
              <w:rPr>
                <w:rFonts w:hint="eastAsia" w:ascii="宋体" w:hAnsi="宋体"/>
                <w:kern w:val="0"/>
              </w:rPr>
              <w:t>支持按剔除数量、剔除金额、剔除条数对院内医生进行排名，点击可产看医生数据信息</w:t>
            </w:r>
          </w:p>
          <w:p w14:paraId="45F693B9">
            <w:pPr>
              <w:spacing w:after="0" w:line="240" w:lineRule="auto"/>
              <w:rPr>
                <w:rFonts w:hint="eastAsia" w:ascii="宋体" w:hAnsi="宋体"/>
                <w:kern w:val="0"/>
              </w:rPr>
            </w:pPr>
            <w:r>
              <w:rPr>
                <w:rFonts w:hint="eastAsia" w:ascii="宋体" w:hAnsi="宋体"/>
                <w:kern w:val="0"/>
              </w:rPr>
              <w:t>支持以图表形式展示各医生的剔除数量信息、剔除金额、剔除条数和医保扣款反馈统计表</w:t>
            </w:r>
          </w:p>
          <w:p w14:paraId="1F8DEDE9">
            <w:pPr>
              <w:spacing w:after="0" w:line="240" w:lineRule="auto"/>
              <w:rPr>
                <w:rFonts w:hint="eastAsia" w:ascii="宋体" w:hAnsi="宋体"/>
                <w:kern w:val="0"/>
              </w:rPr>
            </w:pPr>
            <w:r>
              <w:rPr>
                <w:rFonts w:hint="eastAsia" w:ascii="宋体" w:hAnsi="宋体"/>
                <w:kern w:val="0"/>
              </w:rPr>
              <w:t>支持按药品、按诊疗形式和按耗材进行统</w:t>
            </w:r>
          </w:p>
          <w:p w14:paraId="22ECC4FC">
            <w:pPr>
              <w:spacing w:after="0" w:line="240" w:lineRule="auto"/>
              <w:rPr>
                <w:rFonts w:hint="eastAsia" w:ascii="宋体" w:hAnsi="宋体"/>
                <w:kern w:val="0"/>
              </w:rPr>
            </w:pPr>
            <w:r>
              <w:rPr>
                <w:rFonts w:hint="eastAsia" w:ascii="宋体" w:hAnsi="宋体"/>
                <w:kern w:val="0"/>
              </w:rPr>
              <w:t>支持统计第一版本、最终版本和反馈率数据</w:t>
            </w:r>
          </w:p>
          <w:p w14:paraId="704DBA01">
            <w:pPr>
              <w:spacing w:after="0" w:line="240" w:lineRule="auto"/>
              <w:rPr>
                <w:rFonts w:hint="eastAsia" w:ascii="宋体" w:hAnsi="宋体"/>
                <w:kern w:val="0"/>
              </w:rPr>
            </w:pPr>
            <w:r>
              <w:rPr>
                <w:rFonts w:hint="eastAsia" w:ascii="宋体" w:hAnsi="宋体"/>
                <w:kern w:val="0"/>
              </w:rPr>
              <w:t>支持按医生名称进行检索和查看数据</w:t>
            </w:r>
          </w:p>
        </w:tc>
      </w:tr>
      <w:tr w14:paraId="174C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388FFCDE">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bottom w:val="single" w:color="auto" w:sz="4" w:space="0"/>
              <w:right w:val="single" w:color="auto" w:sz="4" w:space="0"/>
            </w:tcBorders>
            <w:vAlign w:val="center"/>
          </w:tcPr>
          <w:p w14:paraId="06E4AB17">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0D844E0D">
            <w:pPr>
              <w:spacing w:after="0" w:line="240" w:lineRule="auto"/>
              <w:jc w:val="center"/>
              <w:rPr>
                <w:rFonts w:hint="eastAsia" w:ascii="宋体" w:hAnsi="宋体" w:cs="宋体"/>
                <w:kern w:val="0"/>
                <w:szCs w:val="24"/>
              </w:rPr>
            </w:pPr>
            <w:r>
              <w:rPr>
                <w:rFonts w:hint="eastAsia" w:ascii="宋体" w:hAnsi="宋体" w:cs="宋体"/>
                <w:kern w:val="0"/>
                <w:szCs w:val="24"/>
                <w:lang w:val="zh-CN"/>
              </w:rPr>
              <w:t>两定年度项目分析</w:t>
            </w:r>
          </w:p>
        </w:tc>
        <w:tc>
          <w:tcPr>
            <w:tcW w:w="5954" w:type="dxa"/>
            <w:tcBorders>
              <w:top w:val="single" w:color="auto" w:sz="4" w:space="0"/>
              <w:left w:val="single" w:color="auto" w:sz="4" w:space="0"/>
              <w:bottom w:val="single" w:color="auto" w:sz="4" w:space="0"/>
              <w:right w:val="single" w:color="auto" w:sz="4" w:space="0"/>
            </w:tcBorders>
            <w:vAlign w:val="center"/>
          </w:tcPr>
          <w:p w14:paraId="27B30125">
            <w:pPr>
              <w:spacing w:after="0" w:line="240" w:lineRule="auto"/>
              <w:rPr>
                <w:rFonts w:hint="eastAsia" w:ascii="宋体" w:hAnsi="宋体"/>
                <w:kern w:val="0"/>
              </w:rPr>
            </w:pPr>
            <w:r>
              <w:rPr>
                <w:rFonts w:hint="eastAsia" w:ascii="宋体" w:hAnsi="宋体"/>
                <w:kern w:val="0"/>
              </w:rPr>
              <w:t>支持按诊疗项目、药品和耗材类目对院内项目进行排序，并按剔除数量、剔除金额、剔除条数对项目进行排名，点击可查看项目数据信息</w:t>
            </w:r>
          </w:p>
          <w:p w14:paraId="193FB9AB">
            <w:pPr>
              <w:spacing w:after="0" w:line="240" w:lineRule="auto"/>
              <w:rPr>
                <w:rFonts w:hint="eastAsia" w:ascii="宋体" w:hAnsi="宋体"/>
                <w:kern w:val="0"/>
              </w:rPr>
            </w:pPr>
            <w:r>
              <w:rPr>
                <w:rFonts w:hint="eastAsia" w:ascii="宋体" w:hAnsi="宋体"/>
                <w:kern w:val="0"/>
              </w:rPr>
              <w:t>支持以图表形式展示院内各项目的剔除数量信息、剔除金额、剔除条数和医保扣款反馈统计表</w:t>
            </w:r>
          </w:p>
          <w:p w14:paraId="3CC284B3">
            <w:pPr>
              <w:spacing w:after="0" w:line="240" w:lineRule="auto"/>
              <w:rPr>
                <w:rFonts w:hint="eastAsia" w:ascii="宋体" w:hAnsi="宋体"/>
                <w:kern w:val="0"/>
              </w:rPr>
            </w:pPr>
            <w:r>
              <w:rPr>
                <w:rFonts w:hint="eastAsia" w:ascii="宋体" w:hAnsi="宋体"/>
                <w:kern w:val="0"/>
              </w:rPr>
              <w:t>支持按药品、按诊疗形式和按耗材进行统</w:t>
            </w:r>
          </w:p>
          <w:p w14:paraId="0D69ADFB">
            <w:pPr>
              <w:spacing w:after="0" w:line="240" w:lineRule="auto"/>
              <w:rPr>
                <w:rFonts w:hint="eastAsia" w:ascii="宋体" w:hAnsi="宋体"/>
                <w:kern w:val="0"/>
              </w:rPr>
            </w:pPr>
            <w:r>
              <w:rPr>
                <w:rFonts w:hint="eastAsia" w:ascii="宋体" w:hAnsi="宋体"/>
                <w:kern w:val="0"/>
              </w:rPr>
              <w:t>支持统计第一版本、最终版本和反馈率数据</w:t>
            </w:r>
          </w:p>
          <w:p w14:paraId="2A443FB1">
            <w:pPr>
              <w:spacing w:after="0" w:line="240" w:lineRule="auto"/>
              <w:rPr>
                <w:rFonts w:hint="eastAsia" w:ascii="宋体" w:hAnsi="宋体"/>
                <w:kern w:val="0"/>
              </w:rPr>
            </w:pPr>
            <w:r>
              <w:rPr>
                <w:rFonts w:hint="eastAsia" w:ascii="宋体" w:hAnsi="宋体"/>
                <w:kern w:val="0"/>
              </w:rPr>
              <w:t>支持按项目名称进行检索和查看数据</w:t>
            </w:r>
          </w:p>
        </w:tc>
      </w:tr>
      <w:bookmarkEnd w:id="2"/>
      <w:tr w14:paraId="6229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restart"/>
            <w:tcBorders>
              <w:left w:val="single" w:color="auto" w:sz="4" w:space="0"/>
              <w:right w:val="single" w:color="auto" w:sz="4" w:space="0"/>
            </w:tcBorders>
            <w:vAlign w:val="center"/>
          </w:tcPr>
          <w:p w14:paraId="5F0FA36B">
            <w:pPr>
              <w:spacing w:after="0" w:line="240" w:lineRule="auto"/>
              <w:jc w:val="center"/>
              <w:rPr>
                <w:rFonts w:hint="eastAsia" w:ascii="宋体" w:hAnsi="宋体" w:cs="宋体"/>
                <w:kern w:val="0"/>
                <w:szCs w:val="24"/>
                <w:lang w:val="zh-CN"/>
              </w:rPr>
            </w:pPr>
            <w:bookmarkStart w:id="3" w:name="_Hlk219382912"/>
            <w:r>
              <w:rPr>
                <w:rFonts w:hint="eastAsia" w:ascii="宋体" w:hAnsi="宋体" w:cs="宋体"/>
                <w:kern w:val="0"/>
                <w:szCs w:val="24"/>
                <w:lang w:val="zh-CN"/>
              </w:rPr>
              <w:t>4</w:t>
            </w:r>
          </w:p>
        </w:tc>
        <w:tc>
          <w:tcPr>
            <w:tcW w:w="1134" w:type="dxa"/>
            <w:vMerge w:val="restart"/>
            <w:tcBorders>
              <w:left w:val="single" w:color="auto" w:sz="4" w:space="0"/>
              <w:right w:val="single" w:color="auto" w:sz="4" w:space="0"/>
            </w:tcBorders>
            <w:vAlign w:val="center"/>
          </w:tcPr>
          <w:p w14:paraId="75FD2F83">
            <w:pPr>
              <w:spacing w:after="0" w:line="240" w:lineRule="auto"/>
              <w:jc w:val="center"/>
              <w:rPr>
                <w:rFonts w:hint="eastAsia" w:ascii="宋体" w:hAnsi="宋体" w:cs="宋体"/>
                <w:kern w:val="0"/>
                <w:szCs w:val="24"/>
                <w:lang w:val="zh-CN"/>
              </w:rPr>
            </w:pPr>
            <w:bookmarkStart w:id="4" w:name="_Hlk219382901"/>
            <w:r>
              <w:rPr>
                <w:rFonts w:hint="eastAsia" w:ascii="宋体" w:hAnsi="宋体" w:cs="宋体"/>
                <w:kern w:val="0"/>
                <w:szCs w:val="24"/>
                <w:lang w:val="zh-CN"/>
              </w:rPr>
              <w:t>医保申诉</w:t>
            </w:r>
            <w:bookmarkEnd w:id="4"/>
          </w:p>
        </w:tc>
        <w:tc>
          <w:tcPr>
            <w:tcW w:w="1701" w:type="dxa"/>
            <w:tcBorders>
              <w:top w:val="single" w:color="auto" w:sz="4" w:space="0"/>
              <w:left w:val="single" w:color="auto" w:sz="4" w:space="0"/>
              <w:bottom w:val="single" w:color="auto" w:sz="4" w:space="0"/>
              <w:right w:val="single" w:color="auto" w:sz="4" w:space="0"/>
            </w:tcBorders>
            <w:vAlign w:val="center"/>
          </w:tcPr>
          <w:p w14:paraId="0D14A729">
            <w:pPr>
              <w:spacing w:after="0" w:line="240" w:lineRule="auto"/>
              <w:jc w:val="center"/>
              <w:rPr>
                <w:rFonts w:hint="eastAsia" w:ascii="宋体" w:hAnsi="宋体" w:cs="宋体"/>
                <w:kern w:val="0"/>
                <w:szCs w:val="24"/>
                <w:lang w:val="zh-CN"/>
              </w:rPr>
            </w:pPr>
            <w:r>
              <w:rPr>
                <w:rFonts w:hint="eastAsia" w:ascii="宋体" w:hAnsi="宋体" w:cs="宋体"/>
                <w:kern w:val="0"/>
                <w:szCs w:val="24"/>
                <w:lang w:val="zh-CN"/>
              </w:rPr>
              <w:t>两定明细批次智能管理</w:t>
            </w:r>
          </w:p>
        </w:tc>
        <w:tc>
          <w:tcPr>
            <w:tcW w:w="5954" w:type="dxa"/>
            <w:tcBorders>
              <w:top w:val="single" w:color="auto" w:sz="4" w:space="0"/>
              <w:left w:val="single" w:color="auto" w:sz="4" w:space="0"/>
              <w:bottom w:val="single" w:color="auto" w:sz="4" w:space="0"/>
              <w:right w:val="single" w:color="auto" w:sz="4" w:space="0"/>
            </w:tcBorders>
            <w:vAlign w:val="center"/>
          </w:tcPr>
          <w:p w14:paraId="6C5D7907">
            <w:pPr>
              <w:spacing w:after="0" w:line="240" w:lineRule="auto"/>
              <w:rPr>
                <w:rFonts w:hint="eastAsia" w:ascii="宋体" w:hAnsi="宋体"/>
                <w:kern w:val="0"/>
              </w:rPr>
            </w:pPr>
            <w:r>
              <w:rPr>
                <w:rFonts w:hint="eastAsia" w:ascii="宋体" w:hAnsi="宋体"/>
                <w:kern w:val="0"/>
              </w:rPr>
              <w:t>提供</w:t>
            </w:r>
            <w:r>
              <w:rPr>
                <w:rFonts w:hint="eastAsia" w:ascii="宋体" w:hAnsi="宋体" w:cs="宋体"/>
                <w:kern w:val="0"/>
                <w:szCs w:val="24"/>
                <w:lang w:val="zh-CN"/>
              </w:rPr>
              <w:t>两定明细批次智能管理；</w:t>
            </w:r>
          </w:p>
          <w:p w14:paraId="58F8F708">
            <w:pPr>
              <w:spacing w:after="0" w:line="240" w:lineRule="auto"/>
              <w:rPr>
                <w:rFonts w:hint="eastAsia" w:ascii="宋体" w:hAnsi="宋体"/>
                <w:kern w:val="0"/>
              </w:rPr>
            </w:pPr>
            <w:r>
              <w:rPr>
                <w:rFonts w:hint="eastAsia" w:ascii="宋体" w:hAnsi="宋体"/>
                <w:kern w:val="0"/>
              </w:rPr>
              <w:t>可自动从两定平台获取疑点明细，并与系统内置的疑点明细进行智能核对匹配，当发现无法匹配的疑点明细时，自动</w:t>
            </w:r>
            <w:r>
              <w:rPr>
                <w:rFonts w:hint="eastAsia" w:ascii="宋体" w:hAnsi="宋体" w:cs="宋体"/>
                <w:kern w:val="0"/>
                <w:szCs w:val="24"/>
              </w:rPr>
              <w:t>下发对应科室或指定申诉人，进行处理操作，当对应科室申诉人处理完成提交后，系统可自动进行打包和管理。</w:t>
            </w:r>
          </w:p>
        </w:tc>
      </w:tr>
      <w:tr w14:paraId="7C320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76CCC879">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2933AF56">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3EDA46F1">
            <w:pPr>
              <w:spacing w:after="0" w:line="240" w:lineRule="auto"/>
              <w:jc w:val="center"/>
              <w:rPr>
                <w:rFonts w:hint="eastAsia" w:ascii="宋体" w:hAnsi="宋体" w:cs="宋体"/>
                <w:kern w:val="0"/>
                <w:szCs w:val="24"/>
              </w:rPr>
            </w:pPr>
            <w:r>
              <w:rPr>
                <w:rFonts w:hint="eastAsia" w:ascii="宋体" w:hAnsi="宋体" w:cs="宋体"/>
                <w:kern w:val="0"/>
                <w:szCs w:val="24"/>
              </w:rPr>
              <w:t>▲两定疑点申诉</w:t>
            </w:r>
          </w:p>
        </w:tc>
        <w:tc>
          <w:tcPr>
            <w:tcW w:w="5954" w:type="dxa"/>
            <w:tcBorders>
              <w:top w:val="single" w:color="auto" w:sz="4" w:space="0"/>
              <w:left w:val="single" w:color="auto" w:sz="4" w:space="0"/>
              <w:bottom w:val="single" w:color="auto" w:sz="4" w:space="0"/>
              <w:right w:val="single" w:color="auto" w:sz="4" w:space="0"/>
            </w:tcBorders>
            <w:vAlign w:val="center"/>
          </w:tcPr>
          <w:p w14:paraId="56E05714">
            <w:pPr>
              <w:widowControl/>
              <w:numPr>
                <w:ilvl w:val="0"/>
                <w:numId w:val="2"/>
              </w:numPr>
              <w:spacing w:after="0" w:line="240" w:lineRule="auto"/>
              <w:ind w:left="83" w:hanging="83"/>
              <w:jc w:val="left"/>
              <w:rPr>
                <w:rFonts w:hint="eastAsia" w:ascii="宋体" w:hAnsi="宋体" w:cs="宋体"/>
                <w:kern w:val="0"/>
                <w:szCs w:val="24"/>
              </w:rPr>
            </w:pPr>
            <w:r>
              <w:rPr>
                <w:rFonts w:hint="eastAsia" w:ascii="宋体" w:hAnsi="宋体" w:cs="宋体"/>
                <w:kern w:val="0"/>
                <w:szCs w:val="24"/>
              </w:rPr>
              <w:t>支持统计展示各批次疑点明细违规数量、系统覆盖率、疑点明细情况、根据项目统计违规数量和审核意见，并可实现申诉，审核，导出等功能。</w:t>
            </w:r>
          </w:p>
          <w:p w14:paraId="777977B3">
            <w:pPr>
              <w:widowControl/>
              <w:numPr>
                <w:ilvl w:val="0"/>
                <w:numId w:val="2"/>
              </w:numPr>
              <w:spacing w:after="0" w:line="240" w:lineRule="auto"/>
              <w:ind w:left="83" w:hanging="83"/>
              <w:jc w:val="left"/>
              <w:rPr>
                <w:rFonts w:hint="eastAsia" w:ascii="宋体" w:hAnsi="宋体" w:cs="宋体"/>
                <w:kern w:val="0"/>
                <w:szCs w:val="24"/>
              </w:rPr>
            </w:pPr>
            <w:r>
              <w:rPr>
                <w:rFonts w:hint="eastAsia" w:ascii="宋体" w:hAnsi="宋体" w:cs="宋体"/>
                <w:kern w:val="0"/>
                <w:szCs w:val="24"/>
              </w:rPr>
              <w:t>支持展示各疑点明显信息，包含：住院号/病案号、项目名称/项目编码、违规金额、申诉状态等信息。</w:t>
            </w:r>
          </w:p>
          <w:p w14:paraId="09F1FB47">
            <w:pPr>
              <w:widowControl/>
              <w:numPr>
                <w:ilvl w:val="0"/>
                <w:numId w:val="2"/>
              </w:numPr>
              <w:spacing w:after="0" w:line="240" w:lineRule="auto"/>
              <w:ind w:left="83" w:hanging="83"/>
              <w:jc w:val="left"/>
              <w:rPr>
                <w:rFonts w:hint="eastAsia" w:ascii="宋体" w:hAnsi="宋体" w:cs="宋体"/>
                <w:kern w:val="0"/>
                <w:szCs w:val="24"/>
              </w:rPr>
            </w:pPr>
            <w:r>
              <w:rPr>
                <w:rFonts w:hint="eastAsia" w:ascii="宋体" w:hAnsi="宋体" w:cs="宋体"/>
                <w:kern w:val="0"/>
                <w:szCs w:val="24"/>
              </w:rPr>
              <w:t>点击疑点，右侧展示详细的病例信息、两定平台初审意见、两定平台终审意见。</w:t>
            </w:r>
          </w:p>
          <w:p w14:paraId="23417FFA">
            <w:pPr>
              <w:widowControl/>
              <w:numPr>
                <w:ilvl w:val="0"/>
                <w:numId w:val="2"/>
              </w:numPr>
              <w:spacing w:after="0" w:line="240" w:lineRule="auto"/>
              <w:ind w:left="83" w:hanging="83"/>
              <w:jc w:val="left"/>
              <w:rPr>
                <w:rFonts w:hint="eastAsia" w:ascii="宋体" w:hAnsi="宋体" w:cs="宋体"/>
                <w:kern w:val="0"/>
                <w:szCs w:val="24"/>
              </w:rPr>
            </w:pPr>
            <w:r>
              <w:rPr>
                <w:rFonts w:hint="eastAsia" w:ascii="宋体" w:hAnsi="宋体" w:cs="宋体"/>
                <w:kern w:val="0"/>
                <w:szCs w:val="24"/>
              </w:rPr>
              <w:t>左侧可按两定疑点下发月份、明细类型、下两定申诉状态、疑点申诉状态、费用类型、开单科室、患者信息、项目信息等条目进行筛查。</w:t>
            </w:r>
          </w:p>
          <w:p w14:paraId="22D7619B">
            <w:pPr>
              <w:widowControl/>
              <w:numPr>
                <w:ilvl w:val="0"/>
                <w:numId w:val="2"/>
              </w:numPr>
              <w:spacing w:after="0" w:line="240" w:lineRule="auto"/>
              <w:ind w:left="83" w:hanging="83"/>
              <w:jc w:val="left"/>
              <w:rPr>
                <w:rFonts w:hint="eastAsia" w:ascii="宋体" w:hAnsi="宋体" w:cs="宋体"/>
                <w:kern w:val="0"/>
                <w:szCs w:val="24"/>
              </w:rPr>
            </w:pPr>
            <w:r>
              <w:rPr>
                <w:rFonts w:hint="eastAsia" w:ascii="宋体" w:hAnsi="宋体" w:cs="宋体"/>
                <w:kern w:val="0"/>
                <w:szCs w:val="24"/>
              </w:rPr>
              <w:t>可以对疑点明细进行下发科室，指定申诉人等操作，指定申诉人支持批量选择申诉人，将疑点明细平分给选择的申诉人，且同一患者违规只会分配给同一申诉人</w:t>
            </w:r>
          </w:p>
          <w:p w14:paraId="3BC82B3C">
            <w:pPr>
              <w:widowControl/>
              <w:numPr>
                <w:ilvl w:val="0"/>
                <w:numId w:val="2"/>
              </w:numPr>
              <w:spacing w:after="0" w:line="240" w:lineRule="auto"/>
              <w:ind w:left="83" w:hanging="83"/>
              <w:jc w:val="left"/>
              <w:rPr>
                <w:rFonts w:hint="eastAsia" w:ascii="宋体" w:hAnsi="宋体" w:cs="宋体"/>
                <w:kern w:val="0"/>
                <w:szCs w:val="24"/>
              </w:rPr>
            </w:pPr>
            <w:r>
              <w:rPr>
                <w:rFonts w:hint="eastAsia" w:ascii="宋体" w:hAnsi="宋体" w:cs="宋体"/>
                <w:kern w:val="0"/>
                <w:szCs w:val="24"/>
              </w:rPr>
              <w:t>支持符合条件的违规自动获取检验报告，诊断，病案信息，历史申诉内容等所需数据并自动生成申诉理由。</w:t>
            </w:r>
          </w:p>
          <w:p w14:paraId="092F71EB">
            <w:pPr>
              <w:widowControl/>
              <w:spacing w:after="0" w:line="240" w:lineRule="auto"/>
              <w:ind w:left="83"/>
              <w:jc w:val="left"/>
              <w:rPr>
                <w:rFonts w:hint="eastAsia" w:ascii="宋体" w:hAnsi="宋体" w:cs="宋体"/>
                <w:kern w:val="0"/>
                <w:szCs w:val="24"/>
              </w:rPr>
            </w:pPr>
            <w:r>
              <w:rPr>
                <w:rFonts w:hint="eastAsia" w:ascii="宋体" w:hAnsi="宋体"/>
                <w:kern w:val="0"/>
                <w:szCs w:val="24"/>
              </w:rPr>
              <w:t>（投标人需提供与以上功能相关系统操作界面截图或视频文件）</w:t>
            </w:r>
          </w:p>
        </w:tc>
      </w:tr>
      <w:tr w14:paraId="5A0F3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25F7FABF">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355B2829">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05207E45">
            <w:pPr>
              <w:spacing w:after="0" w:line="240" w:lineRule="auto"/>
              <w:jc w:val="center"/>
              <w:rPr>
                <w:rFonts w:hint="eastAsia" w:ascii="宋体" w:hAnsi="宋体" w:cs="宋体"/>
                <w:kern w:val="0"/>
                <w:szCs w:val="24"/>
              </w:rPr>
            </w:pPr>
            <w:r>
              <w:rPr>
                <w:rFonts w:hint="eastAsia" w:ascii="宋体" w:hAnsi="宋体" w:cs="宋体"/>
                <w:kern w:val="0"/>
                <w:szCs w:val="24"/>
              </w:rPr>
              <w:t>两定关键字绑定</w:t>
            </w:r>
          </w:p>
        </w:tc>
        <w:tc>
          <w:tcPr>
            <w:tcW w:w="5954" w:type="dxa"/>
            <w:tcBorders>
              <w:top w:val="single" w:color="auto" w:sz="4" w:space="0"/>
              <w:left w:val="single" w:color="auto" w:sz="4" w:space="0"/>
              <w:bottom w:val="single" w:color="auto" w:sz="4" w:space="0"/>
              <w:right w:val="single" w:color="auto" w:sz="4" w:space="0"/>
            </w:tcBorders>
            <w:vAlign w:val="center"/>
          </w:tcPr>
          <w:p w14:paraId="4A98DA95">
            <w:pPr>
              <w:spacing w:after="0" w:line="240" w:lineRule="auto"/>
              <w:rPr>
                <w:rFonts w:hint="eastAsia" w:ascii="宋体" w:hAnsi="宋体"/>
                <w:kern w:val="0"/>
              </w:rPr>
            </w:pPr>
            <w:r>
              <w:rPr>
                <w:rFonts w:hint="eastAsia" w:ascii="宋体" w:hAnsi="宋体"/>
                <w:kern w:val="0"/>
              </w:rPr>
              <w:t>可对两定规则关键字进行匹配和绑定操作。</w:t>
            </w:r>
          </w:p>
          <w:p w14:paraId="650664D6">
            <w:pPr>
              <w:spacing w:after="0" w:line="240" w:lineRule="auto"/>
              <w:rPr>
                <w:rFonts w:hint="eastAsia" w:ascii="宋体" w:hAnsi="宋体"/>
                <w:kern w:val="0"/>
              </w:rPr>
            </w:pPr>
            <w:r>
              <w:rPr>
                <w:rFonts w:hint="eastAsia" w:ascii="宋体" w:hAnsi="宋体"/>
                <w:kern w:val="0"/>
              </w:rPr>
              <w:t>以列表形式展示规则类型、规则子类、规则类型名、匹配的关键字信息。</w:t>
            </w:r>
          </w:p>
          <w:p w14:paraId="4157565C">
            <w:pPr>
              <w:spacing w:after="0" w:line="240" w:lineRule="auto"/>
              <w:rPr>
                <w:rFonts w:hint="eastAsia" w:ascii="宋体" w:hAnsi="宋体"/>
                <w:kern w:val="0"/>
              </w:rPr>
            </w:pPr>
            <w:r>
              <w:rPr>
                <w:rFonts w:hint="eastAsia" w:ascii="宋体" w:hAnsi="宋体"/>
                <w:kern w:val="0"/>
              </w:rPr>
              <w:t>支持规则的批量操作和新增操作。</w:t>
            </w:r>
          </w:p>
          <w:p w14:paraId="4E98E17C">
            <w:pPr>
              <w:spacing w:after="0" w:line="240" w:lineRule="auto"/>
              <w:rPr>
                <w:rFonts w:hint="eastAsia" w:ascii="宋体" w:hAnsi="宋体"/>
                <w:kern w:val="0"/>
              </w:rPr>
            </w:pPr>
            <w:r>
              <w:rPr>
                <w:rFonts w:hint="eastAsia" w:ascii="宋体" w:hAnsi="宋体"/>
                <w:kern w:val="0"/>
              </w:rPr>
              <w:t>支持按规则类型和规则关键字筛查。</w:t>
            </w:r>
          </w:p>
        </w:tc>
      </w:tr>
      <w:tr w14:paraId="6CD4B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14FC1F27">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2743EA85">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7388B180">
            <w:pPr>
              <w:spacing w:after="0" w:line="240" w:lineRule="auto"/>
              <w:jc w:val="center"/>
              <w:rPr>
                <w:rFonts w:hint="eastAsia" w:ascii="宋体" w:hAnsi="宋体" w:cs="宋体"/>
                <w:kern w:val="0"/>
                <w:szCs w:val="24"/>
              </w:rPr>
            </w:pPr>
            <w:r>
              <w:rPr>
                <w:rFonts w:hint="eastAsia" w:ascii="宋体" w:hAnsi="宋体" w:cs="宋体"/>
                <w:kern w:val="0"/>
                <w:szCs w:val="24"/>
              </w:rPr>
              <w:t>两定违规分析</w:t>
            </w:r>
          </w:p>
        </w:tc>
        <w:tc>
          <w:tcPr>
            <w:tcW w:w="5954" w:type="dxa"/>
            <w:tcBorders>
              <w:top w:val="single" w:color="auto" w:sz="4" w:space="0"/>
              <w:left w:val="single" w:color="auto" w:sz="4" w:space="0"/>
              <w:bottom w:val="single" w:color="auto" w:sz="4" w:space="0"/>
              <w:right w:val="single" w:color="auto" w:sz="4" w:space="0"/>
            </w:tcBorders>
            <w:vAlign w:val="center"/>
          </w:tcPr>
          <w:p w14:paraId="5E0E7CC0">
            <w:pPr>
              <w:widowControl/>
              <w:spacing w:after="0" w:line="240" w:lineRule="auto"/>
              <w:jc w:val="left"/>
              <w:rPr>
                <w:rFonts w:hint="eastAsia" w:ascii="宋体" w:hAnsi="宋体" w:cs="宋体"/>
                <w:kern w:val="0"/>
                <w:szCs w:val="24"/>
              </w:rPr>
            </w:pPr>
            <w:r>
              <w:rPr>
                <w:rFonts w:hint="eastAsia" w:ascii="宋体" w:hAnsi="宋体" w:cs="宋体"/>
                <w:kern w:val="0"/>
                <w:szCs w:val="24"/>
              </w:rPr>
              <w:t>支持对一段时间内的两定违规数据进行分析，可以项目违规数量，违规金额进行排序，查看具体项目的违规原因，同比环比数据违规增长或下降趋势，并分析违规原因否有映射规则，映射规则是否启用</w:t>
            </w:r>
          </w:p>
        </w:tc>
      </w:tr>
      <w:tr w14:paraId="57D1E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bottom w:val="single" w:color="auto" w:sz="4" w:space="0"/>
              <w:right w:val="single" w:color="auto" w:sz="4" w:space="0"/>
            </w:tcBorders>
            <w:vAlign w:val="center"/>
          </w:tcPr>
          <w:p w14:paraId="37B03B8B">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bottom w:val="single" w:color="auto" w:sz="4" w:space="0"/>
              <w:right w:val="single" w:color="auto" w:sz="4" w:space="0"/>
            </w:tcBorders>
            <w:vAlign w:val="center"/>
          </w:tcPr>
          <w:p w14:paraId="7EE912D7">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4E84D005">
            <w:pPr>
              <w:spacing w:after="0" w:line="240" w:lineRule="auto"/>
              <w:jc w:val="center"/>
              <w:rPr>
                <w:rFonts w:hint="eastAsia" w:ascii="宋体" w:hAnsi="宋体" w:cs="宋体"/>
                <w:kern w:val="0"/>
                <w:szCs w:val="24"/>
              </w:rPr>
            </w:pPr>
            <w:r>
              <w:rPr>
                <w:rFonts w:hint="eastAsia" w:ascii="宋体" w:hAnsi="宋体" w:cs="宋体"/>
                <w:kern w:val="0"/>
                <w:szCs w:val="24"/>
              </w:rPr>
              <w:t>两定疑点总览</w:t>
            </w:r>
          </w:p>
        </w:tc>
        <w:tc>
          <w:tcPr>
            <w:tcW w:w="5954" w:type="dxa"/>
            <w:tcBorders>
              <w:top w:val="single" w:color="auto" w:sz="4" w:space="0"/>
              <w:left w:val="single" w:color="auto" w:sz="4" w:space="0"/>
              <w:bottom w:val="single" w:color="auto" w:sz="4" w:space="0"/>
              <w:right w:val="single" w:color="auto" w:sz="4" w:space="0"/>
            </w:tcBorders>
            <w:vAlign w:val="center"/>
          </w:tcPr>
          <w:p w14:paraId="582D2ADA">
            <w:pPr>
              <w:spacing w:after="0" w:line="240" w:lineRule="auto"/>
              <w:rPr>
                <w:rFonts w:hint="eastAsia" w:ascii="宋体" w:hAnsi="宋体"/>
                <w:kern w:val="0"/>
              </w:rPr>
            </w:pPr>
            <w:r>
              <w:rPr>
                <w:rFonts w:hint="eastAsia" w:ascii="宋体" w:hAnsi="宋体"/>
                <w:kern w:val="0"/>
              </w:rPr>
              <w:t>支持对规定时间内疑点明细违规数量、系统覆盖率、疑点明细情况进行总览，可根据项目统计违规数量和审核意见，并可实现申诉，审核，导出等功能。</w:t>
            </w:r>
          </w:p>
        </w:tc>
      </w:tr>
      <w:bookmarkEnd w:id="3"/>
      <w:tr w14:paraId="3E837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restart"/>
            <w:tcBorders>
              <w:left w:val="single" w:color="auto" w:sz="4" w:space="0"/>
              <w:right w:val="single" w:color="auto" w:sz="4" w:space="0"/>
            </w:tcBorders>
            <w:vAlign w:val="center"/>
          </w:tcPr>
          <w:p w14:paraId="29C9E808">
            <w:pPr>
              <w:spacing w:after="0" w:line="240" w:lineRule="auto"/>
              <w:jc w:val="center"/>
              <w:rPr>
                <w:rFonts w:hint="eastAsia" w:ascii="宋体" w:hAnsi="宋体" w:cs="宋体"/>
                <w:kern w:val="0"/>
                <w:szCs w:val="24"/>
                <w:lang w:val="zh-CN"/>
              </w:rPr>
            </w:pPr>
            <w:bookmarkStart w:id="5" w:name="_Hlk219383235"/>
            <w:r>
              <w:rPr>
                <w:rFonts w:hint="eastAsia" w:ascii="宋体" w:hAnsi="宋体" w:cs="宋体"/>
                <w:kern w:val="0"/>
                <w:szCs w:val="24"/>
                <w:lang w:val="zh-CN"/>
              </w:rPr>
              <w:t>5</w:t>
            </w:r>
          </w:p>
        </w:tc>
        <w:tc>
          <w:tcPr>
            <w:tcW w:w="1134" w:type="dxa"/>
            <w:vMerge w:val="restart"/>
            <w:tcBorders>
              <w:left w:val="single" w:color="auto" w:sz="4" w:space="0"/>
              <w:right w:val="single" w:color="auto" w:sz="4" w:space="0"/>
            </w:tcBorders>
            <w:vAlign w:val="center"/>
          </w:tcPr>
          <w:p w14:paraId="41D74F20">
            <w:pPr>
              <w:spacing w:after="0" w:line="240" w:lineRule="auto"/>
              <w:jc w:val="center"/>
              <w:rPr>
                <w:rFonts w:hint="eastAsia" w:ascii="宋体" w:hAnsi="宋体" w:cs="宋体"/>
                <w:kern w:val="0"/>
                <w:szCs w:val="24"/>
                <w:lang w:val="zh-CN"/>
              </w:rPr>
            </w:pPr>
            <w:bookmarkStart w:id="6" w:name="_Hlk219383222"/>
            <w:r>
              <w:rPr>
                <w:rFonts w:hint="eastAsia" w:ascii="宋体" w:hAnsi="宋体" w:cs="宋体"/>
                <w:kern w:val="0"/>
                <w:szCs w:val="24"/>
                <w:lang w:val="zh-CN"/>
              </w:rPr>
              <w:t>规则管理</w:t>
            </w:r>
            <w:bookmarkEnd w:id="6"/>
          </w:p>
        </w:tc>
        <w:tc>
          <w:tcPr>
            <w:tcW w:w="1701" w:type="dxa"/>
            <w:tcBorders>
              <w:top w:val="single" w:color="auto" w:sz="4" w:space="0"/>
              <w:left w:val="single" w:color="auto" w:sz="4" w:space="0"/>
              <w:bottom w:val="single" w:color="auto" w:sz="4" w:space="0"/>
              <w:right w:val="single" w:color="auto" w:sz="4" w:space="0"/>
            </w:tcBorders>
            <w:vAlign w:val="center"/>
          </w:tcPr>
          <w:p w14:paraId="7C035EC1">
            <w:pPr>
              <w:widowControl/>
              <w:spacing w:after="0" w:line="240" w:lineRule="auto"/>
              <w:jc w:val="center"/>
              <w:rPr>
                <w:rFonts w:hint="eastAsia" w:ascii="宋体" w:hAnsi="宋体" w:cs="宋体"/>
                <w:kern w:val="0"/>
                <w:szCs w:val="24"/>
              </w:rPr>
            </w:pPr>
            <w:r>
              <w:rPr>
                <w:rFonts w:hint="eastAsia" w:ascii="宋体" w:hAnsi="宋体" w:cs="宋体"/>
                <w:kern w:val="0"/>
                <w:szCs w:val="24"/>
              </w:rPr>
              <w:t>▲规则设置</w:t>
            </w:r>
          </w:p>
        </w:tc>
        <w:tc>
          <w:tcPr>
            <w:tcW w:w="5954" w:type="dxa"/>
            <w:tcBorders>
              <w:top w:val="single" w:color="auto" w:sz="4" w:space="0"/>
              <w:left w:val="single" w:color="auto" w:sz="4" w:space="0"/>
              <w:bottom w:val="single" w:color="auto" w:sz="4" w:space="0"/>
              <w:right w:val="single" w:color="auto" w:sz="4" w:space="0"/>
            </w:tcBorders>
            <w:vAlign w:val="center"/>
          </w:tcPr>
          <w:p w14:paraId="2857140A">
            <w:pPr>
              <w:widowControl/>
              <w:numPr>
                <w:ilvl w:val="0"/>
                <w:numId w:val="3"/>
              </w:numPr>
              <w:spacing w:after="0" w:line="240" w:lineRule="auto"/>
              <w:ind w:left="83" w:hanging="83"/>
              <w:jc w:val="left"/>
              <w:rPr>
                <w:rFonts w:hint="eastAsia" w:ascii="宋体" w:hAnsi="宋体" w:cs="宋体"/>
                <w:kern w:val="0"/>
                <w:szCs w:val="24"/>
              </w:rPr>
            </w:pPr>
            <w:r>
              <w:rPr>
                <w:rFonts w:hint="eastAsia" w:ascii="宋体" w:hAnsi="宋体" w:cs="宋体"/>
                <w:kern w:val="0"/>
                <w:szCs w:val="24"/>
              </w:rPr>
              <w:t>提供医保费用审核规则，主要包括项目超适应症、药品超适应症、重复收费、项目超频次、项目内涵、限制儿童收费、性别限制等；</w:t>
            </w:r>
          </w:p>
          <w:p w14:paraId="2FA89C46">
            <w:pPr>
              <w:widowControl/>
              <w:numPr>
                <w:ilvl w:val="0"/>
                <w:numId w:val="3"/>
              </w:numPr>
              <w:spacing w:after="0" w:line="240" w:lineRule="auto"/>
              <w:ind w:left="83" w:hanging="83"/>
              <w:jc w:val="left"/>
              <w:rPr>
                <w:rFonts w:hint="eastAsia" w:ascii="宋体" w:hAnsi="宋体" w:cs="宋体"/>
                <w:kern w:val="0"/>
                <w:szCs w:val="24"/>
              </w:rPr>
            </w:pPr>
            <w:r>
              <w:rPr>
                <w:rFonts w:hint="eastAsia" w:ascii="宋体" w:hAnsi="宋体" w:cs="宋体"/>
                <w:kern w:val="0"/>
                <w:szCs w:val="24"/>
              </w:rPr>
              <w:t>支持医院提供医保相关违规规则或院内管理规则，增加和补充规则知识库；</w:t>
            </w:r>
          </w:p>
          <w:p w14:paraId="727FFEB2">
            <w:pPr>
              <w:widowControl/>
              <w:numPr>
                <w:ilvl w:val="0"/>
                <w:numId w:val="3"/>
              </w:numPr>
              <w:spacing w:after="0" w:line="240" w:lineRule="auto"/>
              <w:ind w:left="83" w:hanging="83"/>
              <w:jc w:val="left"/>
              <w:rPr>
                <w:rFonts w:hint="eastAsia" w:ascii="宋体" w:hAnsi="宋体" w:cs="宋体"/>
                <w:kern w:val="0"/>
                <w:szCs w:val="24"/>
              </w:rPr>
            </w:pPr>
            <w:r>
              <w:rPr>
                <w:rFonts w:hint="eastAsia" w:ascii="宋体" w:hAnsi="宋体" w:cs="宋体"/>
                <w:kern w:val="0"/>
                <w:szCs w:val="24"/>
              </w:rPr>
              <w:t>系统支持按照使用场景，场景状态，规则分类，规则状态、项目名称、限定范围等维度进行规则查询。</w:t>
            </w:r>
          </w:p>
          <w:p w14:paraId="335AE7A1">
            <w:pPr>
              <w:widowControl/>
              <w:numPr>
                <w:ilvl w:val="0"/>
                <w:numId w:val="3"/>
              </w:numPr>
              <w:spacing w:after="0" w:line="240" w:lineRule="auto"/>
              <w:ind w:left="83" w:hanging="83"/>
              <w:jc w:val="left"/>
              <w:rPr>
                <w:rFonts w:hint="eastAsia" w:ascii="宋体" w:hAnsi="宋体" w:cs="宋体"/>
                <w:kern w:val="0"/>
                <w:szCs w:val="24"/>
              </w:rPr>
            </w:pPr>
            <w:r>
              <w:rPr>
                <w:rFonts w:hint="eastAsia" w:ascii="宋体" w:hAnsi="宋体" w:cs="宋体"/>
                <w:kern w:val="0"/>
                <w:szCs w:val="24"/>
              </w:rPr>
              <w:t>规则支持科室、医生、诊断白名单编辑，可把违规项目进行忽略处理。</w:t>
            </w:r>
          </w:p>
          <w:p w14:paraId="4174D3CB">
            <w:pPr>
              <w:widowControl/>
              <w:numPr>
                <w:ilvl w:val="0"/>
                <w:numId w:val="3"/>
              </w:numPr>
              <w:spacing w:after="0" w:line="240" w:lineRule="auto"/>
              <w:ind w:left="83" w:hanging="83"/>
              <w:jc w:val="left"/>
              <w:rPr>
                <w:rFonts w:hint="eastAsia" w:ascii="宋体" w:hAnsi="宋体" w:cs="宋体"/>
                <w:kern w:val="0"/>
                <w:szCs w:val="24"/>
              </w:rPr>
            </w:pPr>
            <w:r>
              <w:rPr>
                <w:rFonts w:hint="eastAsia" w:ascii="宋体" w:hAnsi="宋体" w:cs="宋体"/>
                <w:kern w:val="0"/>
                <w:szCs w:val="24"/>
              </w:rPr>
              <w:t>满足不同科室的定向化管理，离休员是否审核判定</w:t>
            </w:r>
            <w:r>
              <w:rPr>
                <w:rFonts w:ascii="宋体" w:hAnsi="宋体" w:cs="宋体"/>
                <w:kern w:val="0"/>
                <w:szCs w:val="24"/>
              </w:rPr>
              <w:t>、</w:t>
            </w:r>
            <w:r>
              <w:rPr>
                <w:rFonts w:hint="eastAsia" w:ascii="宋体" w:hAnsi="宋体" w:cs="宋体"/>
                <w:kern w:val="0"/>
                <w:szCs w:val="24"/>
              </w:rPr>
              <w:t>限定统一科室判定</w:t>
            </w:r>
            <w:r>
              <w:rPr>
                <w:rFonts w:ascii="宋体" w:hAnsi="宋体" w:cs="宋体"/>
                <w:kern w:val="0"/>
                <w:szCs w:val="24"/>
              </w:rPr>
              <w:t>。</w:t>
            </w:r>
          </w:p>
          <w:p w14:paraId="39EDF773">
            <w:pPr>
              <w:widowControl/>
              <w:numPr>
                <w:ilvl w:val="0"/>
                <w:numId w:val="3"/>
              </w:numPr>
              <w:spacing w:after="0" w:line="240" w:lineRule="auto"/>
              <w:ind w:left="83" w:hanging="83"/>
              <w:jc w:val="left"/>
              <w:rPr>
                <w:rFonts w:hint="eastAsia" w:ascii="宋体" w:hAnsi="宋体" w:cs="宋体"/>
                <w:kern w:val="0"/>
                <w:szCs w:val="24"/>
              </w:rPr>
            </w:pPr>
            <w:r>
              <w:rPr>
                <w:rFonts w:hint="eastAsia" w:ascii="宋体" w:hAnsi="宋体" w:cs="宋体"/>
                <w:kern w:val="0"/>
                <w:szCs w:val="24"/>
              </w:rPr>
              <w:t>可自定义提醒内容</w:t>
            </w:r>
            <w:r>
              <w:rPr>
                <w:rFonts w:ascii="宋体" w:hAnsi="宋体" w:cs="宋体"/>
                <w:kern w:val="0"/>
                <w:szCs w:val="24"/>
              </w:rPr>
              <w:t>。</w:t>
            </w:r>
          </w:p>
          <w:p w14:paraId="793AD569">
            <w:pPr>
              <w:widowControl/>
              <w:numPr>
                <w:ilvl w:val="0"/>
                <w:numId w:val="3"/>
              </w:numPr>
              <w:spacing w:after="0" w:line="240" w:lineRule="auto"/>
              <w:ind w:left="83" w:hanging="83"/>
              <w:jc w:val="left"/>
              <w:rPr>
                <w:rFonts w:hint="eastAsia" w:ascii="宋体" w:hAnsi="宋体" w:cs="宋体"/>
                <w:kern w:val="0"/>
                <w:szCs w:val="24"/>
              </w:rPr>
            </w:pPr>
            <w:r>
              <w:rPr>
                <w:rFonts w:hint="eastAsia" w:ascii="宋体" w:hAnsi="宋体" w:cs="宋体"/>
                <w:kern w:val="0"/>
                <w:szCs w:val="24"/>
              </w:rPr>
              <w:t>可支持配置规则生效时间。</w:t>
            </w:r>
          </w:p>
          <w:p w14:paraId="611A06CB">
            <w:pPr>
              <w:widowControl/>
              <w:spacing w:after="0" w:line="240" w:lineRule="auto"/>
              <w:ind w:left="83"/>
              <w:jc w:val="left"/>
              <w:rPr>
                <w:rFonts w:hint="eastAsia" w:ascii="宋体" w:hAnsi="宋体" w:cs="宋体"/>
                <w:kern w:val="0"/>
                <w:szCs w:val="24"/>
              </w:rPr>
            </w:pPr>
            <w:bookmarkStart w:id="7" w:name="OLE_LINK16"/>
            <w:bookmarkStart w:id="8" w:name="OLE_LINK15"/>
            <w:r>
              <w:rPr>
                <w:rFonts w:hint="eastAsia" w:ascii="宋体" w:hAnsi="宋体"/>
                <w:kern w:val="0"/>
                <w:szCs w:val="24"/>
              </w:rPr>
              <w:t>（投标人需提供与以上功能相关系统操作界面截图或视频文件）</w:t>
            </w:r>
            <w:bookmarkEnd w:id="7"/>
            <w:bookmarkEnd w:id="8"/>
          </w:p>
        </w:tc>
      </w:tr>
      <w:tr w14:paraId="63DBC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54A28B67">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7ACADD15">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539079B2">
            <w:pPr>
              <w:widowControl/>
              <w:spacing w:after="0" w:line="240" w:lineRule="auto"/>
              <w:jc w:val="center"/>
              <w:rPr>
                <w:rFonts w:hint="eastAsia" w:ascii="宋体" w:hAnsi="宋体" w:cs="宋体"/>
                <w:kern w:val="0"/>
                <w:szCs w:val="24"/>
              </w:rPr>
            </w:pPr>
            <w:r>
              <w:rPr>
                <w:rFonts w:hint="eastAsia" w:ascii="宋体" w:hAnsi="宋体" w:cs="宋体"/>
                <w:kern w:val="0"/>
                <w:szCs w:val="24"/>
              </w:rPr>
              <w:t>规则看板</w:t>
            </w:r>
          </w:p>
        </w:tc>
        <w:tc>
          <w:tcPr>
            <w:tcW w:w="5954" w:type="dxa"/>
            <w:tcBorders>
              <w:top w:val="single" w:color="auto" w:sz="4" w:space="0"/>
              <w:left w:val="single" w:color="auto" w:sz="4" w:space="0"/>
              <w:bottom w:val="single" w:color="auto" w:sz="4" w:space="0"/>
              <w:right w:val="single" w:color="auto" w:sz="4" w:space="0"/>
            </w:tcBorders>
            <w:vAlign w:val="center"/>
          </w:tcPr>
          <w:p w14:paraId="6899804C">
            <w:pPr>
              <w:spacing w:after="0" w:line="240" w:lineRule="auto"/>
              <w:rPr>
                <w:rFonts w:hint="eastAsia" w:ascii="宋体" w:hAnsi="宋体"/>
                <w:kern w:val="0"/>
              </w:rPr>
            </w:pPr>
            <w:r>
              <w:rPr>
                <w:rFonts w:hint="eastAsia" w:ascii="宋体" w:hAnsi="宋体"/>
                <w:kern w:val="0"/>
              </w:rPr>
              <w:t>提供规则分类、规则预警数量、规则目录、规则日志等规则信息展示。</w:t>
            </w:r>
          </w:p>
        </w:tc>
      </w:tr>
      <w:tr w14:paraId="55D0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025E3B2A">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74107A18">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3728E1A2">
            <w:pPr>
              <w:widowControl/>
              <w:spacing w:after="0" w:line="240" w:lineRule="auto"/>
              <w:jc w:val="center"/>
              <w:rPr>
                <w:rFonts w:hint="eastAsia" w:ascii="宋体" w:hAnsi="宋体" w:cs="宋体"/>
                <w:kern w:val="0"/>
                <w:szCs w:val="24"/>
              </w:rPr>
            </w:pPr>
            <w:r>
              <w:rPr>
                <w:rFonts w:hint="eastAsia" w:ascii="宋体" w:hAnsi="宋体" w:cs="宋体"/>
                <w:kern w:val="0"/>
                <w:szCs w:val="24"/>
              </w:rPr>
              <w:t>规则分类</w:t>
            </w:r>
          </w:p>
        </w:tc>
        <w:tc>
          <w:tcPr>
            <w:tcW w:w="5954" w:type="dxa"/>
            <w:tcBorders>
              <w:top w:val="single" w:color="auto" w:sz="4" w:space="0"/>
              <w:left w:val="single" w:color="auto" w:sz="4" w:space="0"/>
              <w:bottom w:val="single" w:color="auto" w:sz="4" w:space="0"/>
              <w:right w:val="single" w:color="auto" w:sz="4" w:space="0"/>
            </w:tcBorders>
            <w:vAlign w:val="center"/>
          </w:tcPr>
          <w:p w14:paraId="3664D872">
            <w:pPr>
              <w:spacing w:after="0" w:line="240" w:lineRule="auto"/>
              <w:rPr>
                <w:rFonts w:hint="eastAsia" w:ascii="宋体" w:hAnsi="宋体"/>
                <w:kern w:val="0"/>
              </w:rPr>
            </w:pPr>
            <w:r>
              <w:rPr>
                <w:rFonts w:hint="eastAsia" w:ascii="宋体" w:hAnsi="宋体"/>
                <w:kern w:val="0"/>
              </w:rPr>
              <w:t>分模块化统计展示系统内的各项规则数据信息；可按诊疗项目、医用耗材、西药、中药分类统计展示；支持按场景类型、场景状态、规则类型、项目信息和限定范围进行规则筛查。</w:t>
            </w:r>
          </w:p>
        </w:tc>
      </w:tr>
      <w:tr w14:paraId="0114F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37805580">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515CE9DD">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74849F5F">
            <w:pPr>
              <w:widowControl/>
              <w:spacing w:after="0" w:line="240" w:lineRule="auto"/>
              <w:jc w:val="center"/>
              <w:rPr>
                <w:rFonts w:hint="eastAsia" w:ascii="宋体" w:hAnsi="宋体" w:cs="宋体"/>
                <w:kern w:val="0"/>
                <w:szCs w:val="24"/>
              </w:rPr>
            </w:pPr>
            <w:r>
              <w:rPr>
                <w:rFonts w:hint="eastAsia" w:ascii="宋体" w:hAnsi="宋体" w:cs="宋体"/>
                <w:kern w:val="0"/>
                <w:szCs w:val="24"/>
              </w:rPr>
              <w:t>医保规则</w:t>
            </w:r>
          </w:p>
        </w:tc>
        <w:tc>
          <w:tcPr>
            <w:tcW w:w="5954" w:type="dxa"/>
            <w:tcBorders>
              <w:top w:val="single" w:color="auto" w:sz="4" w:space="0"/>
              <w:left w:val="single" w:color="auto" w:sz="4" w:space="0"/>
              <w:bottom w:val="single" w:color="auto" w:sz="4" w:space="0"/>
              <w:right w:val="single" w:color="auto" w:sz="4" w:space="0"/>
            </w:tcBorders>
            <w:vAlign w:val="center"/>
          </w:tcPr>
          <w:p w14:paraId="1EE2E26B">
            <w:pPr>
              <w:spacing w:after="0" w:line="240" w:lineRule="auto"/>
              <w:rPr>
                <w:rFonts w:hint="eastAsia" w:ascii="宋体" w:hAnsi="宋体"/>
                <w:kern w:val="0"/>
              </w:rPr>
            </w:pPr>
            <w:r>
              <w:rPr>
                <w:rFonts w:hint="eastAsia" w:ascii="宋体" w:hAnsi="宋体"/>
                <w:kern w:val="0"/>
              </w:rPr>
              <w:t>支持列表形式展示医保规则的编码/限定范围、是否启用、门诊处方、门诊事后、住院医嘱、住院事中T+1、出院预结算、住院事后、确定状态、对应规则名称等信息。支持响应规则的编辑修改操作可根据批次时间、明细类型、规则类型、限定范围、规则来源、场景类型、场景状态等条件进行筛选查看医保规则明细。</w:t>
            </w:r>
          </w:p>
        </w:tc>
      </w:tr>
      <w:tr w14:paraId="2F499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1BD6B350">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16A9B2E6">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0740CE54">
            <w:pPr>
              <w:widowControl/>
              <w:spacing w:after="0" w:line="240" w:lineRule="auto"/>
              <w:jc w:val="center"/>
              <w:rPr>
                <w:rFonts w:hint="eastAsia" w:ascii="宋体" w:hAnsi="宋体" w:cs="宋体"/>
                <w:kern w:val="0"/>
                <w:szCs w:val="24"/>
              </w:rPr>
            </w:pPr>
            <w:r>
              <w:rPr>
                <w:rFonts w:hint="eastAsia" w:ascii="宋体" w:hAnsi="宋体" w:cs="宋体"/>
                <w:kern w:val="0"/>
                <w:szCs w:val="24"/>
              </w:rPr>
              <w:t>规则修改日志</w:t>
            </w:r>
          </w:p>
        </w:tc>
        <w:tc>
          <w:tcPr>
            <w:tcW w:w="5954" w:type="dxa"/>
            <w:tcBorders>
              <w:top w:val="single" w:color="auto" w:sz="4" w:space="0"/>
              <w:left w:val="single" w:color="auto" w:sz="4" w:space="0"/>
              <w:bottom w:val="single" w:color="auto" w:sz="4" w:space="0"/>
              <w:right w:val="single" w:color="auto" w:sz="4" w:space="0"/>
            </w:tcBorders>
            <w:vAlign w:val="center"/>
          </w:tcPr>
          <w:p w14:paraId="5C382127">
            <w:pPr>
              <w:widowControl/>
              <w:numPr>
                <w:ilvl w:val="0"/>
                <w:numId w:val="4"/>
              </w:numPr>
              <w:spacing w:after="0" w:line="240" w:lineRule="auto"/>
              <w:jc w:val="left"/>
              <w:rPr>
                <w:rFonts w:hint="eastAsia" w:ascii="宋体" w:hAnsi="宋体" w:cs="宋体"/>
                <w:kern w:val="0"/>
                <w:szCs w:val="24"/>
              </w:rPr>
            </w:pPr>
            <w:r>
              <w:rPr>
                <w:rFonts w:hint="eastAsia" w:ascii="宋体" w:hAnsi="宋体" w:cs="宋体"/>
                <w:kern w:val="0"/>
                <w:szCs w:val="24"/>
              </w:rPr>
              <w:t>列表形式，记录并展示：规则的操作时间、变更类型、操作用户、操作概览等规则调整修改日志信息，并支持误操作回滚</w:t>
            </w:r>
          </w:p>
          <w:p w14:paraId="705CB2F0">
            <w:pPr>
              <w:widowControl/>
              <w:numPr>
                <w:ilvl w:val="0"/>
                <w:numId w:val="4"/>
              </w:numPr>
              <w:spacing w:after="0" w:line="240" w:lineRule="auto"/>
              <w:jc w:val="left"/>
              <w:rPr>
                <w:rFonts w:hint="eastAsia" w:ascii="宋体" w:hAnsi="宋体" w:cs="宋体"/>
                <w:kern w:val="0"/>
                <w:szCs w:val="24"/>
              </w:rPr>
            </w:pPr>
            <w:r>
              <w:rPr>
                <w:rFonts w:hint="eastAsia" w:ascii="宋体" w:hAnsi="宋体" w:cs="宋体"/>
                <w:kern w:val="0"/>
                <w:szCs w:val="24"/>
              </w:rPr>
              <w:t>支持按时间区间、操作类型、项目名称和项目编码进行快速检索修改记录</w:t>
            </w:r>
          </w:p>
        </w:tc>
      </w:tr>
      <w:tr w14:paraId="7E821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35BBB6C5">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7D5F7456">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51FF001A">
            <w:pPr>
              <w:widowControl/>
              <w:spacing w:after="0" w:line="240" w:lineRule="auto"/>
              <w:jc w:val="center"/>
              <w:rPr>
                <w:rFonts w:hint="eastAsia" w:ascii="宋体" w:hAnsi="宋体" w:cs="宋体"/>
                <w:kern w:val="0"/>
                <w:szCs w:val="24"/>
              </w:rPr>
            </w:pPr>
            <w:r>
              <w:rPr>
                <w:rFonts w:hint="eastAsia" w:ascii="宋体" w:hAnsi="宋体" w:cs="宋体"/>
                <w:kern w:val="0"/>
                <w:szCs w:val="24"/>
              </w:rPr>
              <w:t>国家两库规则</w:t>
            </w:r>
          </w:p>
        </w:tc>
        <w:tc>
          <w:tcPr>
            <w:tcW w:w="5954" w:type="dxa"/>
            <w:tcBorders>
              <w:top w:val="single" w:color="auto" w:sz="4" w:space="0"/>
              <w:left w:val="single" w:color="auto" w:sz="4" w:space="0"/>
              <w:bottom w:val="single" w:color="auto" w:sz="4" w:space="0"/>
              <w:right w:val="single" w:color="auto" w:sz="4" w:space="0"/>
            </w:tcBorders>
            <w:vAlign w:val="center"/>
          </w:tcPr>
          <w:p w14:paraId="3EB3BED6">
            <w:pPr>
              <w:spacing w:after="0" w:line="240" w:lineRule="auto"/>
              <w:rPr>
                <w:rFonts w:hint="eastAsia" w:ascii="宋体" w:hAnsi="宋体"/>
                <w:kern w:val="0"/>
              </w:rPr>
            </w:pPr>
            <w:r>
              <w:rPr>
                <w:rFonts w:hint="eastAsia" w:ascii="宋体" w:hAnsi="宋体"/>
                <w:kern w:val="0"/>
              </w:rPr>
              <w:t>以列表形式，展示国家两库规则数据信息，包括：名称、短编码/限定范围、是否启用、各场景下违规级别、确定状态、规则来源等信息。</w:t>
            </w:r>
          </w:p>
          <w:p w14:paraId="10ACE5F8">
            <w:pPr>
              <w:spacing w:after="0" w:line="240" w:lineRule="auto"/>
              <w:rPr>
                <w:rFonts w:hint="eastAsia" w:ascii="宋体" w:hAnsi="宋体"/>
                <w:kern w:val="0"/>
              </w:rPr>
            </w:pPr>
            <w:r>
              <w:rPr>
                <w:rFonts w:hint="eastAsia" w:ascii="宋体" w:hAnsi="宋体"/>
                <w:kern w:val="0"/>
              </w:rPr>
              <w:t>支持规则的查看、编辑、修改和删除操作。</w:t>
            </w:r>
          </w:p>
          <w:p w14:paraId="53FF26D8">
            <w:pPr>
              <w:spacing w:after="0" w:line="240" w:lineRule="auto"/>
              <w:rPr>
                <w:rFonts w:hint="eastAsia" w:ascii="宋体" w:hAnsi="宋体"/>
                <w:kern w:val="0"/>
                <w:lang w:val="zh-CN"/>
              </w:rPr>
            </w:pPr>
            <w:r>
              <w:rPr>
                <w:rFonts w:hint="eastAsia" w:ascii="宋体" w:hAnsi="宋体"/>
                <w:kern w:val="0"/>
              </w:rPr>
              <w:t>左侧栏目提供规则信息的精细化检索操作，可根据：规则类型、项目信息、限定范围、规则来源、场景状态、规则类型，项目状态等信息进行检索违规信息。</w:t>
            </w:r>
          </w:p>
        </w:tc>
      </w:tr>
      <w:tr w14:paraId="4EFB9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60E4CC14">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44761639">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013F6553">
            <w:pPr>
              <w:widowControl/>
              <w:spacing w:after="0" w:line="240" w:lineRule="auto"/>
              <w:jc w:val="center"/>
              <w:rPr>
                <w:rFonts w:hint="eastAsia" w:ascii="宋体" w:hAnsi="宋体" w:cs="宋体"/>
                <w:kern w:val="0"/>
                <w:szCs w:val="24"/>
              </w:rPr>
            </w:pPr>
            <w:r>
              <w:rPr>
                <w:rFonts w:hint="eastAsia" w:ascii="宋体" w:hAnsi="宋体" w:cs="宋体"/>
                <w:kern w:val="0"/>
                <w:szCs w:val="24"/>
              </w:rPr>
              <w:t>建议设置</w:t>
            </w:r>
          </w:p>
        </w:tc>
        <w:tc>
          <w:tcPr>
            <w:tcW w:w="5954" w:type="dxa"/>
            <w:tcBorders>
              <w:top w:val="single" w:color="auto" w:sz="4" w:space="0"/>
              <w:left w:val="single" w:color="auto" w:sz="4" w:space="0"/>
              <w:bottom w:val="single" w:color="auto" w:sz="4" w:space="0"/>
              <w:right w:val="single" w:color="auto" w:sz="4" w:space="0"/>
            </w:tcBorders>
            <w:vAlign w:val="center"/>
          </w:tcPr>
          <w:p w14:paraId="781EC1BE">
            <w:pPr>
              <w:spacing w:after="0" w:line="240" w:lineRule="auto"/>
              <w:rPr>
                <w:rFonts w:hint="eastAsia" w:ascii="宋体" w:hAnsi="宋体"/>
                <w:kern w:val="0"/>
                <w:szCs w:val="24"/>
              </w:rPr>
            </w:pPr>
            <w:r>
              <w:rPr>
                <w:rFonts w:hint="eastAsia" w:ascii="宋体" w:hAnsi="宋体"/>
                <w:kern w:val="0"/>
                <w:szCs w:val="24"/>
              </w:rPr>
              <w:t>内置建议设置功能，可对费用违规进行辅助建议配置；提供补充诊断、变更项目、转自费等建议信息。</w:t>
            </w:r>
          </w:p>
        </w:tc>
      </w:tr>
      <w:tr w14:paraId="76D8B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bottom w:val="single" w:color="auto" w:sz="4" w:space="0"/>
              <w:right w:val="single" w:color="auto" w:sz="4" w:space="0"/>
            </w:tcBorders>
            <w:vAlign w:val="center"/>
          </w:tcPr>
          <w:p w14:paraId="24D32B61">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bottom w:val="single" w:color="auto" w:sz="4" w:space="0"/>
              <w:right w:val="single" w:color="auto" w:sz="4" w:space="0"/>
            </w:tcBorders>
            <w:vAlign w:val="center"/>
          </w:tcPr>
          <w:p w14:paraId="5433E3BB">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65B45F50">
            <w:pPr>
              <w:spacing w:after="0" w:line="240" w:lineRule="auto"/>
              <w:jc w:val="center"/>
              <w:rPr>
                <w:rFonts w:hint="eastAsia" w:ascii="宋体" w:hAnsi="宋体" w:cs="宋体"/>
                <w:kern w:val="0"/>
                <w:szCs w:val="24"/>
              </w:rPr>
            </w:pPr>
            <w:r>
              <w:rPr>
                <w:rFonts w:hint="eastAsia" w:ascii="宋体" w:hAnsi="宋体" w:cs="宋体"/>
                <w:kern w:val="0"/>
                <w:szCs w:val="24"/>
              </w:rPr>
              <w:t>版本更新</w:t>
            </w:r>
          </w:p>
        </w:tc>
        <w:tc>
          <w:tcPr>
            <w:tcW w:w="5954" w:type="dxa"/>
            <w:tcBorders>
              <w:top w:val="single" w:color="auto" w:sz="4" w:space="0"/>
              <w:left w:val="single" w:color="auto" w:sz="4" w:space="0"/>
              <w:bottom w:val="single" w:color="auto" w:sz="4" w:space="0"/>
              <w:right w:val="single" w:color="auto" w:sz="4" w:space="0"/>
            </w:tcBorders>
            <w:vAlign w:val="center"/>
          </w:tcPr>
          <w:p w14:paraId="53B96CDC">
            <w:pPr>
              <w:numPr>
                <w:ilvl w:val="0"/>
                <w:numId w:val="5"/>
              </w:numPr>
              <w:spacing w:after="0" w:line="240" w:lineRule="auto"/>
              <w:jc w:val="left"/>
              <w:rPr>
                <w:rFonts w:hint="eastAsia" w:ascii="宋体" w:hAnsi="宋体"/>
                <w:kern w:val="0"/>
                <w:szCs w:val="24"/>
              </w:rPr>
            </w:pPr>
            <w:r>
              <w:rPr>
                <w:rFonts w:hint="eastAsia" w:ascii="宋体" w:hAnsi="宋体"/>
                <w:kern w:val="0"/>
                <w:szCs w:val="24"/>
              </w:rPr>
              <w:t>支持规则库批量更新。</w:t>
            </w:r>
          </w:p>
          <w:p w14:paraId="0B9203E0">
            <w:pPr>
              <w:numPr>
                <w:ilvl w:val="0"/>
                <w:numId w:val="5"/>
              </w:numPr>
              <w:spacing w:after="0" w:line="240" w:lineRule="auto"/>
              <w:jc w:val="left"/>
              <w:rPr>
                <w:rFonts w:hint="eastAsia" w:ascii="宋体" w:hAnsi="宋体"/>
                <w:kern w:val="0"/>
                <w:szCs w:val="24"/>
              </w:rPr>
            </w:pPr>
            <w:r>
              <w:rPr>
                <w:rFonts w:hint="eastAsia" w:ascii="宋体" w:hAnsi="宋体"/>
                <w:kern w:val="0"/>
                <w:szCs w:val="24"/>
              </w:rPr>
              <w:t>支持更新规则库与当前规则进行比对，并展示详细变更内容</w:t>
            </w:r>
          </w:p>
          <w:p w14:paraId="7BAB5494">
            <w:pPr>
              <w:numPr>
                <w:ilvl w:val="0"/>
                <w:numId w:val="5"/>
              </w:numPr>
              <w:spacing w:after="0" w:line="240" w:lineRule="auto"/>
              <w:jc w:val="left"/>
              <w:rPr>
                <w:rFonts w:hint="eastAsia" w:ascii="宋体" w:hAnsi="宋体"/>
                <w:kern w:val="0"/>
                <w:szCs w:val="24"/>
              </w:rPr>
            </w:pPr>
            <w:r>
              <w:rPr>
                <w:rFonts w:hint="eastAsia" w:ascii="宋体" w:hAnsi="宋体"/>
                <w:kern w:val="0"/>
                <w:szCs w:val="24"/>
              </w:rPr>
              <w:t>支持更新规则批量回滚</w:t>
            </w:r>
          </w:p>
        </w:tc>
      </w:tr>
      <w:bookmarkEnd w:id="5"/>
      <w:tr w14:paraId="3FC8E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restart"/>
            <w:tcBorders>
              <w:left w:val="single" w:color="auto" w:sz="4" w:space="0"/>
              <w:right w:val="single" w:color="auto" w:sz="4" w:space="0"/>
            </w:tcBorders>
            <w:vAlign w:val="center"/>
          </w:tcPr>
          <w:p w14:paraId="73277DB7">
            <w:pPr>
              <w:spacing w:after="0" w:line="240" w:lineRule="auto"/>
              <w:jc w:val="center"/>
              <w:rPr>
                <w:rFonts w:hint="eastAsia" w:ascii="宋体" w:hAnsi="宋体" w:cs="宋体"/>
                <w:kern w:val="0"/>
                <w:szCs w:val="24"/>
                <w:lang w:val="zh-CN"/>
              </w:rPr>
            </w:pPr>
            <w:r>
              <w:rPr>
                <w:rFonts w:hint="eastAsia" w:ascii="宋体" w:hAnsi="宋体" w:cs="宋体"/>
                <w:kern w:val="0"/>
                <w:szCs w:val="24"/>
                <w:lang w:val="zh-CN"/>
              </w:rPr>
              <w:t>6</w:t>
            </w:r>
          </w:p>
        </w:tc>
        <w:tc>
          <w:tcPr>
            <w:tcW w:w="1134" w:type="dxa"/>
            <w:vMerge w:val="restart"/>
            <w:tcBorders>
              <w:left w:val="single" w:color="auto" w:sz="4" w:space="0"/>
              <w:right w:val="single" w:color="auto" w:sz="4" w:space="0"/>
            </w:tcBorders>
            <w:vAlign w:val="center"/>
          </w:tcPr>
          <w:p w14:paraId="4D0ED322">
            <w:pPr>
              <w:spacing w:after="0" w:line="240" w:lineRule="auto"/>
              <w:jc w:val="center"/>
              <w:rPr>
                <w:rFonts w:hint="eastAsia" w:ascii="宋体" w:hAnsi="宋体" w:cs="宋体"/>
                <w:kern w:val="0"/>
                <w:szCs w:val="24"/>
                <w:lang w:val="zh-CN"/>
              </w:rPr>
            </w:pPr>
            <w:r>
              <w:rPr>
                <w:rFonts w:hint="eastAsia" w:ascii="宋体" w:hAnsi="宋体" w:cs="宋体"/>
                <w:kern w:val="0"/>
                <w:szCs w:val="24"/>
                <w:lang w:val="zh-CN"/>
              </w:rPr>
              <w:t>飞检自查自纠</w:t>
            </w:r>
          </w:p>
        </w:tc>
        <w:tc>
          <w:tcPr>
            <w:tcW w:w="1701" w:type="dxa"/>
            <w:tcBorders>
              <w:top w:val="single" w:color="auto" w:sz="4" w:space="0"/>
              <w:left w:val="single" w:color="auto" w:sz="4" w:space="0"/>
              <w:bottom w:val="single" w:color="auto" w:sz="4" w:space="0"/>
              <w:right w:val="single" w:color="auto" w:sz="4" w:space="0"/>
            </w:tcBorders>
            <w:vAlign w:val="center"/>
          </w:tcPr>
          <w:p w14:paraId="4CC6B0B8">
            <w:pPr>
              <w:spacing w:after="0" w:line="240" w:lineRule="auto"/>
              <w:jc w:val="center"/>
              <w:rPr>
                <w:rFonts w:hint="eastAsia" w:ascii="宋体" w:hAnsi="宋体" w:cs="宋体"/>
                <w:kern w:val="0"/>
                <w:szCs w:val="24"/>
              </w:rPr>
            </w:pPr>
            <w:r>
              <w:rPr>
                <w:rFonts w:hint="eastAsia" w:ascii="宋体" w:hAnsi="宋体" w:cs="宋体"/>
                <w:kern w:val="0"/>
                <w:szCs w:val="24"/>
              </w:rPr>
              <w:t>飞行检查</w:t>
            </w:r>
          </w:p>
        </w:tc>
        <w:tc>
          <w:tcPr>
            <w:tcW w:w="5954" w:type="dxa"/>
            <w:tcBorders>
              <w:top w:val="single" w:color="auto" w:sz="4" w:space="0"/>
              <w:left w:val="single" w:color="auto" w:sz="4" w:space="0"/>
              <w:bottom w:val="single" w:color="auto" w:sz="4" w:space="0"/>
              <w:right w:val="single" w:color="auto" w:sz="4" w:space="0"/>
            </w:tcBorders>
            <w:vAlign w:val="center"/>
          </w:tcPr>
          <w:p w14:paraId="7D7655DC">
            <w:pPr>
              <w:spacing w:after="0" w:line="240" w:lineRule="auto"/>
              <w:rPr>
                <w:rFonts w:hint="eastAsia" w:ascii="宋体" w:hAnsi="宋体"/>
                <w:kern w:val="0"/>
              </w:rPr>
            </w:pPr>
            <w:r>
              <w:rPr>
                <w:rFonts w:hint="eastAsia" w:ascii="宋体" w:hAnsi="宋体"/>
                <w:kern w:val="0"/>
              </w:rPr>
              <w:t>支持不同省市级飞检规则库导入操作，也支持院内自定义创建功能。规则绑定，可查看、编辑和启停指标，也可根据不同指标规则，绑定不同的规则类型。可根据系统内，不同的飞检规则进行核查，支持按照门诊和住院分别核查，并以列表形式进行查看运行进度、运行时间、运行结果等。可对检查结果进行查看、导出，并查看问题清单。支持批量导出飞行检查报告结果。</w:t>
            </w:r>
          </w:p>
        </w:tc>
      </w:tr>
      <w:tr w14:paraId="23939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18B9E14E">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2E052070">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15BA3DE2">
            <w:pPr>
              <w:spacing w:after="0" w:line="240" w:lineRule="auto"/>
              <w:jc w:val="center"/>
              <w:rPr>
                <w:rFonts w:hint="eastAsia" w:ascii="宋体" w:hAnsi="宋体" w:cs="宋体"/>
                <w:kern w:val="0"/>
                <w:szCs w:val="24"/>
              </w:rPr>
            </w:pPr>
            <w:r>
              <w:rPr>
                <w:rFonts w:hint="eastAsia" w:ascii="宋体" w:hAnsi="宋体" w:cs="宋体"/>
                <w:kern w:val="0"/>
                <w:szCs w:val="24"/>
              </w:rPr>
              <w:t>▲场景质控</w:t>
            </w:r>
          </w:p>
        </w:tc>
        <w:tc>
          <w:tcPr>
            <w:tcW w:w="5954" w:type="dxa"/>
            <w:tcBorders>
              <w:top w:val="single" w:color="auto" w:sz="4" w:space="0"/>
              <w:left w:val="single" w:color="auto" w:sz="4" w:space="0"/>
              <w:bottom w:val="single" w:color="auto" w:sz="4" w:space="0"/>
              <w:right w:val="single" w:color="auto" w:sz="4" w:space="0"/>
            </w:tcBorders>
            <w:vAlign w:val="center"/>
          </w:tcPr>
          <w:p w14:paraId="24E4CEBC">
            <w:pPr>
              <w:spacing w:after="0" w:line="240" w:lineRule="auto"/>
              <w:jc w:val="left"/>
              <w:rPr>
                <w:rFonts w:hint="eastAsia" w:ascii="宋体" w:hAnsi="宋体" w:cs="宋体"/>
                <w:kern w:val="0"/>
                <w:szCs w:val="24"/>
              </w:rPr>
            </w:pPr>
            <w:r>
              <w:rPr>
                <w:rFonts w:hint="eastAsia" w:ascii="宋体" w:hAnsi="宋体" w:cs="宋体"/>
                <w:kern w:val="0"/>
                <w:szCs w:val="24"/>
              </w:rPr>
              <w:t>支持手动选择部分规则设置定时任务进行违规质控，并在质控结果变更时实时通过微信或钉钉消息提醒开单医生。</w:t>
            </w:r>
          </w:p>
          <w:p w14:paraId="78DBCEA5">
            <w:pPr>
              <w:spacing w:after="0" w:line="240" w:lineRule="auto"/>
              <w:jc w:val="left"/>
              <w:rPr>
                <w:rFonts w:hint="eastAsia" w:ascii="宋体" w:hAnsi="宋体" w:cs="宋体"/>
                <w:kern w:val="0"/>
                <w:szCs w:val="24"/>
              </w:rPr>
            </w:pPr>
            <w:r>
              <w:rPr>
                <w:rFonts w:hint="eastAsia" w:ascii="宋体" w:hAnsi="宋体"/>
                <w:kern w:val="0"/>
                <w:szCs w:val="24"/>
              </w:rPr>
              <w:t>（投标人需提供与以上功能相关系统操作界面截图或视频文件）</w:t>
            </w:r>
          </w:p>
        </w:tc>
      </w:tr>
      <w:tr w14:paraId="3D8E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bottom w:val="single" w:color="auto" w:sz="4" w:space="0"/>
              <w:right w:val="single" w:color="auto" w:sz="4" w:space="0"/>
            </w:tcBorders>
            <w:vAlign w:val="center"/>
          </w:tcPr>
          <w:p w14:paraId="6F94C72F">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bottom w:val="single" w:color="auto" w:sz="4" w:space="0"/>
              <w:right w:val="single" w:color="auto" w:sz="4" w:space="0"/>
            </w:tcBorders>
            <w:vAlign w:val="center"/>
          </w:tcPr>
          <w:p w14:paraId="39AA3B87">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52BA81C8">
            <w:pPr>
              <w:spacing w:after="0" w:line="240" w:lineRule="auto"/>
              <w:jc w:val="center"/>
              <w:rPr>
                <w:rFonts w:hint="eastAsia" w:ascii="宋体" w:hAnsi="宋体" w:cs="宋体"/>
                <w:kern w:val="0"/>
                <w:szCs w:val="24"/>
              </w:rPr>
            </w:pPr>
            <w:r>
              <w:rPr>
                <w:rFonts w:hint="eastAsia" w:ascii="宋体" w:hAnsi="宋体" w:cs="宋体"/>
                <w:kern w:val="0"/>
                <w:szCs w:val="24"/>
              </w:rPr>
              <w:t>批量质控任务</w:t>
            </w:r>
          </w:p>
        </w:tc>
        <w:tc>
          <w:tcPr>
            <w:tcW w:w="5954" w:type="dxa"/>
            <w:tcBorders>
              <w:top w:val="single" w:color="auto" w:sz="4" w:space="0"/>
              <w:left w:val="single" w:color="auto" w:sz="4" w:space="0"/>
              <w:bottom w:val="single" w:color="auto" w:sz="4" w:space="0"/>
              <w:right w:val="single" w:color="auto" w:sz="4" w:space="0"/>
            </w:tcBorders>
            <w:vAlign w:val="center"/>
          </w:tcPr>
          <w:p w14:paraId="5811CA65">
            <w:pPr>
              <w:spacing w:after="0" w:line="240" w:lineRule="auto"/>
              <w:rPr>
                <w:rFonts w:hint="eastAsia" w:ascii="宋体" w:hAnsi="宋体"/>
                <w:kern w:val="0"/>
                <w:szCs w:val="24"/>
              </w:rPr>
            </w:pPr>
            <w:r>
              <w:rPr>
                <w:rFonts w:hint="eastAsia" w:ascii="宋体" w:hAnsi="宋体"/>
                <w:kern w:val="0"/>
                <w:szCs w:val="24"/>
              </w:rPr>
              <w:t>支持执行批量质控任务，并以列表方式展示批量质量任务信息。</w:t>
            </w:r>
          </w:p>
        </w:tc>
      </w:tr>
      <w:tr w14:paraId="1F38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8" w:type="dxa"/>
            <w:vMerge w:val="restart"/>
            <w:tcBorders>
              <w:left w:val="single" w:color="auto" w:sz="4" w:space="0"/>
              <w:right w:val="single" w:color="auto" w:sz="4" w:space="0"/>
            </w:tcBorders>
            <w:vAlign w:val="center"/>
          </w:tcPr>
          <w:p w14:paraId="19C79957">
            <w:pPr>
              <w:spacing w:after="0" w:line="240" w:lineRule="auto"/>
              <w:jc w:val="center"/>
              <w:rPr>
                <w:rFonts w:hint="eastAsia" w:ascii="宋体" w:hAnsi="宋体" w:cs="宋体"/>
                <w:kern w:val="0"/>
                <w:szCs w:val="24"/>
                <w:lang w:val="zh-CN"/>
              </w:rPr>
            </w:pPr>
            <w:r>
              <w:rPr>
                <w:rFonts w:hint="eastAsia" w:ascii="宋体" w:hAnsi="宋体" w:cs="宋体"/>
                <w:kern w:val="0"/>
                <w:szCs w:val="24"/>
                <w:lang w:val="zh-CN"/>
              </w:rPr>
              <w:t>7</w:t>
            </w:r>
          </w:p>
        </w:tc>
        <w:tc>
          <w:tcPr>
            <w:tcW w:w="1134" w:type="dxa"/>
            <w:vMerge w:val="restart"/>
            <w:tcBorders>
              <w:left w:val="single" w:color="auto" w:sz="4" w:space="0"/>
              <w:right w:val="single" w:color="auto" w:sz="4" w:space="0"/>
            </w:tcBorders>
            <w:vAlign w:val="center"/>
          </w:tcPr>
          <w:p w14:paraId="195259E0">
            <w:pPr>
              <w:spacing w:after="0" w:line="240" w:lineRule="auto"/>
              <w:jc w:val="center"/>
              <w:rPr>
                <w:rFonts w:hint="eastAsia" w:ascii="宋体" w:hAnsi="宋体" w:cs="宋体"/>
                <w:kern w:val="0"/>
                <w:szCs w:val="24"/>
                <w:lang w:val="zh-CN"/>
              </w:rPr>
            </w:pPr>
            <w:r>
              <w:rPr>
                <w:rFonts w:hint="eastAsia" w:ascii="宋体" w:hAnsi="宋体" w:cs="宋体"/>
                <w:kern w:val="0"/>
                <w:szCs w:val="24"/>
                <w:lang w:val="zh-CN"/>
              </w:rPr>
              <w:t>医保目录</w:t>
            </w:r>
          </w:p>
        </w:tc>
        <w:tc>
          <w:tcPr>
            <w:tcW w:w="1701" w:type="dxa"/>
            <w:tcBorders>
              <w:top w:val="single" w:color="auto" w:sz="4" w:space="0"/>
              <w:left w:val="single" w:color="auto" w:sz="4" w:space="0"/>
              <w:bottom w:val="single" w:color="auto" w:sz="4" w:space="0"/>
              <w:right w:val="single" w:color="auto" w:sz="4" w:space="0"/>
            </w:tcBorders>
            <w:vAlign w:val="center"/>
          </w:tcPr>
          <w:p w14:paraId="074EB3DB">
            <w:pPr>
              <w:spacing w:after="0" w:line="240" w:lineRule="auto"/>
              <w:jc w:val="center"/>
              <w:rPr>
                <w:rFonts w:hint="eastAsia" w:ascii="宋体" w:hAnsi="宋体" w:cs="宋体"/>
                <w:kern w:val="0"/>
                <w:szCs w:val="24"/>
              </w:rPr>
            </w:pPr>
            <w:r>
              <w:rPr>
                <w:rFonts w:hint="eastAsia" w:ascii="宋体" w:hAnsi="宋体" w:cs="宋体"/>
                <w:kern w:val="0"/>
                <w:szCs w:val="24"/>
                <w:lang w:val="zh-CN"/>
              </w:rPr>
              <w:t>药品目录</w:t>
            </w:r>
          </w:p>
        </w:tc>
        <w:tc>
          <w:tcPr>
            <w:tcW w:w="5954" w:type="dxa"/>
            <w:tcBorders>
              <w:top w:val="single" w:color="auto" w:sz="4" w:space="0"/>
              <w:left w:val="single" w:color="auto" w:sz="4" w:space="0"/>
              <w:bottom w:val="single" w:color="auto" w:sz="4" w:space="0"/>
              <w:right w:val="single" w:color="auto" w:sz="4" w:space="0"/>
            </w:tcBorders>
            <w:vAlign w:val="center"/>
          </w:tcPr>
          <w:p w14:paraId="715684FD">
            <w:pPr>
              <w:spacing w:after="0" w:line="240" w:lineRule="auto"/>
              <w:rPr>
                <w:rFonts w:hint="eastAsia" w:ascii="宋体" w:hAnsi="宋体"/>
                <w:kern w:val="0"/>
                <w:szCs w:val="24"/>
              </w:rPr>
            </w:pPr>
            <w:r>
              <w:rPr>
                <w:rFonts w:hint="eastAsia" w:ascii="宋体" w:hAnsi="宋体" w:cs="宋体"/>
                <w:kern w:val="0"/>
                <w:szCs w:val="24"/>
                <w:lang w:val="zh-CN"/>
              </w:rPr>
              <w:t>支持药品目录的查看和编辑</w:t>
            </w:r>
          </w:p>
        </w:tc>
      </w:tr>
      <w:tr w14:paraId="4A1C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8" w:type="dxa"/>
            <w:vMerge w:val="continue"/>
            <w:tcBorders>
              <w:left w:val="single" w:color="auto" w:sz="4" w:space="0"/>
              <w:right w:val="single" w:color="auto" w:sz="4" w:space="0"/>
            </w:tcBorders>
            <w:vAlign w:val="center"/>
          </w:tcPr>
          <w:p w14:paraId="62074337">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4BAA8CB7">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68E52C5C">
            <w:pPr>
              <w:spacing w:after="0" w:line="240" w:lineRule="auto"/>
              <w:jc w:val="center"/>
              <w:rPr>
                <w:rFonts w:hint="eastAsia" w:ascii="宋体" w:hAnsi="宋体" w:cs="宋体"/>
                <w:kern w:val="0"/>
                <w:szCs w:val="24"/>
              </w:rPr>
            </w:pPr>
            <w:r>
              <w:rPr>
                <w:rFonts w:hint="eastAsia" w:ascii="宋体" w:hAnsi="宋体" w:cs="宋体"/>
                <w:kern w:val="0"/>
                <w:szCs w:val="24"/>
                <w:lang w:val="zh-CN"/>
              </w:rPr>
              <w:t>诊疗项目目录</w:t>
            </w:r>
          </w:p>
        </w:tc>
        <w:tc>
          <w:tcPr>
            <w:tcW w:w="5954" w:type="dxa"/>
            <w:tcBorders>
              <w:top w:val="single" w:color="auto" w:sz="4" w:space="0"/>
              <w:left w:val="single" w:color="auto" w:sz="4" w:space="0"/>
              <w:bottom w:val="single" w:color="auto" w:sz="4" w:space="0"/>
              <w:right w:val="single" w:color="auto" w:sz="4" w:space="0"/>
            </w:tcBorders>
            <w:vAlign w:val="center"/>
          </w:tcPr>
          <w:p w14:paraId="3AE3A422">
            <w:pPr>
              <w:spacing w:after="0" w:line="240" w:lineRule="auto"/>
              <w:rPr>
                <w:rFonts w:hint="eastAsia" w:ascii="宋体" w:hAnsi="宋体"/>
                <w:kern w:val="0"/>
                <w:szCs w:val="24"/>
              </w:rPr>
            </w:pPr>
            <w:r>
              <w:rPr>
                <w:rFonts w:hint="eastAsia" w:ascii="宋体" w:hAnsi="宋体" w:cs="宋体"/>
                <w:kern w:val="0"/>
                <w:szCs w:val="24"/>
                <w:lang w:val="zh-CN"/>
              </w:rPr>
              <w:t>支持诊疗项目目录的查看和编辑</w:t>
            </w:r>
          </w:p>
        </w:tc>
      </w:tr>
      <w:tr w14:paraId="3F87C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8" w:type="dxa"/>
            <w:vMerge w:val="continue"/>
            <w:tcBorders>
              <w:left w:val="single" w:color="auto" w:sz="4" w:space="0"/>
              <w:right w:val="single" w:color="auto" w:sz="4" w:space="0"/>
            </w:tcBorders>
            <w:vAlign w:val="center"/>
          </w:tcPr>
          <w:p w14:paraId="40FEF25F">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0FA50D18">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49F3F862">
            <w:pPr>
              <w:spacing w:after="0" w:line="240" w:lineRule="auto"/>
              <w:jc w:val="center"/>
              <w:rPr>
                <w:rFonts w:hint="eastAsia" w:ascii="宋体" w:hAnsi="宋体" w:cs="宋体"/>
                <w:kern w:val="0"/>
                <w:szCs w:val="24"/>
              </w:rPr>
            </w:pPr>
            <w:r>
              <w:rPr>
                <w:rFonts w:hint="eastAsia" w:ascii="宋体" w:hAnsi="宋体" w:cs="宋体"/>
                <w:kern w:val="0"/>
                <w:szCs w:val="24"/>
                <w:lang w:val="zh-CN"/>
              </w:rPr>
              <w:t>耗材目录</w:t>
            </w:r>
          </w:p>
        </w:tc>
        <w:tc>
          <w:tcPr>
            <w:tcW w:w="5954" w:type="dxa"/>
            <w:tcBorders>
              <w:top w:val="single" w:color="auto" w:sz="4" w:space="0"/>
              <w:left w:val="single" w:color="auto" w:sz="4" w:space="0"/>
              <w:bottom w:val="single" w:color="auto" w:sz="4" w:space="0"/>
              <w:right w:val="single" w:color="auto" w:sz="4" w:space="0"/>
            </w:tcBorders>
            <w:vAlign w:val="center"/>
          </w:tcPr>
          <w:p w14:paraId="2F8C96F4">
            <w:pPr>
              <w:spacing w:after="0" w:line="240" w:lineRule="auto"/>
              <w:rPr>
                <w:rFonts w:hint="eastAsia" w:ascii="宋体" w:hAnsi="宋体"/>
                <w:kern w:val="0"/>
                <w:szCs w:val="24"/>
              </w:rPr>
            </w:pPr>
            <w:r>
              <w:rPr>
                <w:rFonts w:hint="eastAsia" w:ascii="宋体" w:hAnsi="宋体" w:cs="宋体"/>
                <w:kern w:val="0"/>
                <w:szCs w:val="24"/>
                <w:lang w:val="zh-CN"/>
              </w:rPr>
              <w:t>支持耗材目录的查看和编辑</w:t>
            </w:r>
          </w:p>
        </w:tc>
      </w:tr>
      <w:tr w14:paraId="30168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8" w:type="dxa"/>
            <w:vMerge w:val="continue"/>
            <w:tcBorders>
              <w:left w:val="single" w:color="auto" w:sz="4" w:space="0"/>
              <w:right w:val="single" w:color="auto" w:sz="4" w:space="0"/>
            </w:tcBorders>
            <w:vAlign w:val="center"/>
          </w:tcPr>
          <w:p w14:paraId="583CD2E7">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3073CE6C">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65C2CB4A">
            <w:pPr>
              <w:spacing w:after="0" w:line="240" w:lineRule="auto"/>
              <w:jc w:val="center"/>
              <w:rPr>
                <w:rFonts w:hint="eastAsia" w:ascii="宋体" w:hAnsi="宋体" w:cs="宋体"/>
                <w:kern w:val="0"/>
                <w:szCs w:val="24"/>
              </w:rPr>
            </w:pPr>
            <w:r>
              <w:rPr>
                <w:rFonts w:hint="eastAsia" w:ascii="宋体" w:hAnsi="宋体" w:cs="宋体"/>
                <w:kern w:val="0"/>
                <w:szCs w:val="24"/>
                <w:lang w:val="zh-CN"/>
              </w:rPr>
              <w:t>患者信息</w:t>
            </w:r>
          </w:p>
        </w:tc>
        <w:tc>
          <w:tcPr>
            <w:tcW w:w="5954" w:type="dxa"/>
            <w:tcBorders>
              <w:top w:val="single" w:color="auto" w:sz="4" w:space="0"/>
              <w:left w:val="single" w:color="auto" w:sz="4" w:space="0"/>
              <w:bottom w:val="single" w:color="auto" w:sz="4" w:space="0"/>
              <w:right w:val="single" w:color="auto" w:sz="4" w:space="0"/>
            </w:tcBorders>
            <w:vAlign w:val="center"/>
          </w:tcPr>
          <w:p w14:paraId="7CFDCFB6">
            <w:pPr>
              <w:spacing w:after="0" w:line="240" w:lineRule="auto"/>
              <w:rPr>
                <w:rFonts w:hint="eastAsia" w:ascii="宋体" w:hAnsi="宋体"/>
                <w:kern w:val="0"/>
                <w:szCs w:val="24"/>
              </w:rPr>
            </w:pPr>
            <w:r>
              <w:rPr>
                <w:rFonts w:hint="eastAsia" w:ascii="宋体" w:hAnsi="宋体" w:cs="宋体"/>
                <w:kern w:val="0"/>
                <w:szCs w:val="24"/>
                <w:lang w:val="zh-CN"/>
              </w:rPr>
              <w:t>支持患者信息的查看和修改</w:t>
            </w:r>
          </w:p>
        </w:tc>
      </w:tr>
      <w:tr w14:paraId="08BCB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8" w:type="dxa"/>
            <w:vMerge w:val="continue"/>
            <w:tcBorders>
              <w:left w:val="single" w:color="auto" w:sz="4" w:space="0"/>
              <w:right w:val="single" w:color="auto" w:sz="4" w:space="0"/>
            </w:tcBorders>
            <w:vAlign w:val="center"/>
          </w:tcPr>
          <w:p w14:paraId="6B38B983">
            <w:pPr>
              <w:spacing w:after="0" w:line="240" w:lineRule="auto"/>
              <w:jc w:val="center"/>
              <w:rPr>
                <w:rFonts w:hint="eastAsia" w:ascii="宋体" w:hAnsi="宋体" w:cs="宋体"/>
                <w:kern w:val="0"/>
                <w:szCs w:val="24"/>
              </w:rPr>
            </w:pPr>
          </w:p>
        </w:tc>
        <w:tc>
          <w:tcPr>
            <w:tcW w:w="1134" w:type="dxa"/>
            <w:vMerge w:val="continue"/>
            <w:tcBorders>
              <w:left w:val="single" w:color="auto" w:sz="4" w:space="0"/>
              <w:right w:val="single" w:color="auto" w:sz="4" w:space="0"/>
            </w:tcBorders>
            <w:vAlign w:val="center"/>
          </w:tcPr>
          <w:p w14:paraId="7A31D8AA">
            <w:pPr>
              <w:spacing w:after="0" w:line="240" w:lineRule="auto"/>
              <w:jc w:val="center"/>
              <w:rPr>
                <w:rFonts w:hint="eastAsia" w:ascii="宋体" w:hAnsi="宋体" w:cs="宋体"/>
                <w:kern w:val="0"/>
                <w:szCs w:val="24"/>
              </w:rPr>
            </w:pPr>
          </w:p>
        </w:tc>
        <w:tc>
          <w:tcPr>
            <w:tcW w:w="1701" w:type="dxa"/>
            <w:tcBorders>
              <w:top w:val="single" w:color="auto" w:sz="4" w:space="0"/>
              <w:left w:val="single" w:color="auto" w:sz="4" w:space="0"/>
              <w:bottom w:val="single" w:color="auto" w:sz="4" w:space="0"/>
              <w:right w:val="single" w:color="auto" w:sz="4" w:space="0"/>
            </w:tcBorders>
            <w:vAlign w:val="center"/>
          </w:tcPr>
          <w:p w14:paraId="6551D82F">
            <w:pPr>
              <w:spacing w:after="0" w:line="240" w:lineRule="auto"/>
              <w:jc w:val="center"/>
              <w:rPr>
                <w:rFonts w:hint="eastAsia" w:ascii="宋体" w:hAnsi="宋体" w:cs="宋体"/>
                <w:kern w:val="0"/>
                <w:szCs w:val="24"/>
              </w:rPr>
            </w:pPr>
            <w:r>
              <w:rPr>
                <w:rFonts w:hint="eastAsia" w:ascii="宋体" w:hAnsi="宋体" w:cs="宋体"/>
                <w:kern w:val="0"/>
                <w:szCs w:val="24"/>
                <w:lang w:val="zh-CN"/>
              </w:rPr>
              <w:t>ICD9</w:t>
            </w:r>
          </w:p>
        </w:tc>
        <w:tc>
          <w:tcPr>
            <w:tcW w:w="5954" w:type="dxa"/>
            <w:tcBorders>
              <w:top w:val="single" w:color="auto" w:sz="4" w:space="0"/>
              <w:left w:val="single" w:color="auto" w:sz="4" w:space="0"/>
              <w:bottom w:val="single" w:color="auto" w:sz="4" w:space="0"/>
              <w:right w:val="single" w:color="auto" w:sz="4" w:space="0"/>
            </w:tcBorders>
            <w:vAlign w:val="center"/>
          </w:tcPr>
          <w:p w14:paraId="0FDF689B">
            <w:pPr>
              <w:spacing w:after="0" w:line="240" w:lineRule="auto"/>
              <w:rPr>
                <w:rFonts w:hint="eastAsia" w:ascii="宋体" w:hAnsi="宋体"/>
                <w:kern w:val="0"/>
                <w:szCs w:val="24"/>
              </w:rPr>
            </w:pPr>
            <w:r>
              <w:rPr>
                <w:rFonts w:hint="eastAsia" w:ascii="宋体" w:hAnsi="宋体" w:cs="宋体"/>
                <w:kern w:val="0"/>
                <w:szCs w:val="24"/>
                <w:lang w:val="zh-CN"/>
              </w:rPr>
              <w:t>支持ICD9目录的查看</w:t>
            </w:r>
          </w:p>
        </w:tc>
      </w:tr>
      <w:tr w14:paraId="72585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8" w:type="dxa"/>
            <w:vMerge w:val="continue"/>
            <w:tcBorders>
              <w:left w:val="single" w:color="auto" w:sz="4" w:space="0"/>
              <w:bottom w:val="single" w:color="auto" w:sz="4" w:space="0"/>
              <w:right w:val="single" w:color="auto" w:sz="4" w:space="0"/>
            </w:tcBorders>
            <w:vAlign w:val="center"/>
          </w:tcPr>
          <w:p w14:paraId="4B4BC98B">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bottom w:val="single" w:color="auto" w:sz="4" w:space="0"/>
              <w:right w:val="single" w:color="auto" w:sz="4" w:space="0"/>
            </w:tcBorders>
            <w:vAlign w:val="center"/>
          </w:tcPr>
          <w:p w14:paraId="357FBBCE">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00548D4E">
            <w:pPr>
              <w:spacing w:after="0" w:line="240" w:lineRule="auto"/>
              <w:jc w:val="center"/>
              <w:rPr>
                <w:rFonts w:hint="eastAsia" w:ascii="宋体" w:hAnsi="宋体" w:cs="宋体"/>
                <w:kern w:val="0"/>
                <w:szCs w:val="24"/>
              </w:rPr>
            </w:pPr>
            <w:r>
              <w:rPr>
                <w:rFonts w:hint="eastAsia" w:ascii="宋体" w:hAnsi="宋体" w:cs="宋体"/>
                <w:kern w:val="0"/>
                <w:szCs w:val="24"/>
                <w:lang w:val="zh-CN"/>
              </w:rPr>
              <w:t>ICD10</w:t>
            </w:r>
          </w:p>
        </w:tc>
        <w:tc>
          <w:tcPr>
            <w:tcW w:w="5954" w:type="dxa"/>
            <w:tcBorders>
              <w:top w:val="single" w:color="auto" w:sz="4" w:space="0"/>
              <w:left w:val="single" w:color="auto" w:sz="4" w:space="0"/>
              <w:bottom w:val="single" w:color="auto" w:sz="4" w:space="0"/>
              <w:right w:val="single" w:color="auto" w:sz="4" w:space="0"/>
            </w:tcBorders>
            <w:vAlign w:val="center"/>
          </w:tcPr>
          <w:p w14:paraId="46BD970B">
            <w:pPr>
              <w:spacing w:after="0" w:line="240" w:lineRule="auto"/>
              <w:rPr>
                <w:rFonts w:hint="eastAsia" w:ascii="宋体" w:hAnsi="宋体"/>
                <w:kern w:val="0"/>
                <w:szCs w:val="24"/>
              </w:rPr>
            </w:pPr>
            <w:r>
              <w:rPr>
                <w:rFonts w:hint="eastAsia" w:ascii="宋体" w:hAnsi="宋体" w:cs="宋体"/>
                <w:kern w:val="0"/>
                <w:szCs w:val="24"/>
                <w:lang w:val="zh-CN"/>
              </w:rPr>
              <w:t>支持ICD10目录的查看</w:t>
            </w:r>
          </w:p>
        </w:tc>
      </w:tr>
      <w:tr w14:paraId="62575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restart"/>
            <w:tcBorders>
              <w:left w:val="single" w:color="auto" w:sz="4" w:space="0"/>
              <w:right w:val="single" w:color="auto" w:sz="4" w:space="0"/>
            </w:tcBorders>
            <w:vAlign w:val="center"/>
          </w:tcPr>
          <w:p w14:paraId="417C70FE">
            <w:pPr>
              <w:spacing w:after="0" w:line="240" w:lineRule="auto"/>
              <w:jc w:val="center"/>
              <w:rPr>
                <w:rFonts w:hint="eastAsia" w:ascii="宋体" w:hAnsi="宋体" w:cs="宋体"/>
                <w:kern w:val="0"/>
                <w:szCs w:val="24"/>
                <w:lang w:val="zh-CN"/>
              </w:rPr>
            </w:pPr>
            <w:r>
              <w:rPr>
                <w:rFonts w:hint="eastAsia" w:ascii="宋体" w:hAnsi="宋体" w:cs="宋体"/>
                <w:kern w:val="0"/>
                <w:szCs w:val="24"/>
                <w:lang w:val="zh-CN"/>
              </w:rPr>
              <w:t>8</w:t>
            </w:r>
          </w:p>
        </w:tc>
        <w:tc>
          <w:tcPr>
            <w:tcW w:w="1134" w:type="dxa"/>
            <w:vMerge w:val="restart"/>
            <w:tcBorders>
              <w:left w:val="single" w:color="auto" w:sz="4" w:space="0"/>
              <w:right w:val="single" w:color="auto" w:sz="4" w:space="0"/>
            </w:tcBorders>
            <w:vAlign w:val="center"/>
          </w:tcPr>
          <w:p w14:paraId="5E079338">
            <w:pPr>
              <w:spacing w:after="0" w:line="240" w:lineRule="auto"/>
              <w:jc w:val="center"/>
              <w:rPr>
                <w:rFonts w:hint="eastAsia" w:ascii="宋体" w:hAnsi="宋体" w:cs="宋体"/>
                <w:kern w:val="0"/>
                <w:szCs w:val="24"/>
                <w:lang w:val="zh-CN"/>
              </w:rPr>
            </w:pPr>
            <w:r>
              <w:rPr>
                <w:rFonts w:hint="eastAsia" w:ascii="宋体" w:hAnsi="宋体" w:cs="宋体"/>
                <w:kern w:val="0"/>
                <w:szCs w:val="24"/>
              </w:rPr>
              <w:t>▲</w:t>
            </w:r>
            <w:r>
              <w:rPr>
                <w:rFonts w:hint="eastAsia" w:ascii="宋体" w:hAnsi="宋体" w:cs="宋体"/>
                <w:kern w:val="0"/>
                <w:szCs w:val="24"/>
                <w:lang w:val="zh-CN"/>
              </w:rPr>
              <w:t>AI人工智能申述管理</w:t>
            </w:r>
          </w:p>
        </w:tc>
        <w:tc>
          <w:tcPr>
            <w:tcW w:w="1701" w:type="dxa"/>
            <w:tcBorders>
              <w:top w:val="single" w:color="auto" w:sz="4" w:space="0"/>
              <w:left w:val="single" w:color="auto" w:sz="4" w:space="0"/>
              <w:bottom w:val="single" w:color="auto" w:sz="4" w:space="0"/>
              <w:right w:val="single" w:color="auto" w:sz="4" w:space="0"/>
            </w:tcBorders>
            <w:vAlign w:val="center"/>
          </w:tcPr>
          <w:p w14:paraId="63A7A81A">
            <w:pPr>
              <w:spacing w:after="0" w:line="240" w:lineRule="auto"/>
              <w:jc w:val="center"/>
              <w:rPr>
                <w:rFonts w:hint="eastAsia" w:ascii="宋体" w:hAnsi="宋体" w:cs="宋体"/>
                <w:kern w:val="0"/>
                <w:szCs w:val="24"/>
              </w:rPr>
            </w:pPr>
            <w:r>
              <w:rPr>
                <w:rFonts w:hint="eastAsia" w:ascii="宋体" w:hAnsi="宋体" w:cs="宋体"/>
                <w:kern w:val="0"/>
                <w:szCs w:val="24"/>
                <w:lang w:val="zh-CN"/>
              </w:rPr>
              <w:t>处理方案</w:t>
            </w:r>
          </w:p>
        </w:tc>
        <w:tc>
          <w:tcPr>
            <w:tcW w:w="5954" w:type="dxa"/>
            <w:tcBorders>
              <w:top w:val="single" w:color="auto" w:sz="4" w:space="0"/>
              <w:left w:val="single" w:color="auto" w:sz="4" w:space="0"/>
              <w:bottom w:val="single" w:color="auto" w:sz="4" w:space="0"/>
              <w:right w:val="single" w:color="auto" w:sz="4" w:space="0"/>
            </w:tcBorders>
            <w:vAlign w:val="center"/>
          </w:tcPr>
          <w:p w14:paraId="31E8E8B4">
            <w:pPr>
              <w:widowControl/>
              <w:numPr>
                <w:ilvl w:val="0"/>
                <w:numId w:val="6"/>
              </w:numPr>
              <w:spacing w:after="0" w:line="240" w:lineRule="auto"/>
              <w:ind w:left="225" w:hanging="225"/>
              <w:jc w:val="left"/>
              <w:rPr>
                <w:rFonts w:hint="eastAsia" w:ascii="宋体" w:hAnsi="宋体" w:cs="宋体"/>
                <w:kern w:val="0"/>
                <w:szCs w:val="24"/>
              </w:rPr>
            </w:pPr>
            <w:r>
              <w:rPr>
                <w:rFonts w:hint="eastAsia" w:ascii="宋体" w:hAnsi="宋体" w:cs="宋体"/>
                <w:kern w:val="0"/>
                <w:szCs w:val="24"/>
              </w:rPr>
              <w:t>支持展示规则信息、项目信息、关联规则数量、更新时间、处理方案等内容，并提供维护功能；</w:t>
            </w:r>
          </w:p>
          <w:p w14:paraId="4F341383">
            <w:pPr>
              <w:widowControl/>
              <w:numPr>
                <w:ilvl w:val="0"/>
                <w:numId w:val="6"/>
              </w:numPr>
              <w:spacing w:after="0" w:line="240" w:lineRule="auto"/>
              <w:ind w:left="225" w:hanging="225"/>
              <w:jc w:val="left"/>
              <w:rPr>
                <w:rFonts w:hint="eastAsia" w:ascii="宋体" w:hAnsi="宋体" w:cs="宋体"/>
                <w:kern w:val="0"/>
                <w:szCs w:val="24"/>
              </w:rPr>
            </w:pPr>
            <w:r>
              <w:rPr>
                <w:rFonts w:hint="eastAsia" w:ascii="宋体" w:hAnsi="宋体" w:cs="宋体"/>
                <w:kern w:val="0"/>
                <w:szCs w:val="24"/>
              </w:rPr>
              <w:t>支持处理方案的批量添加操作；</w:t>
            </w:r>
          </w:p>
          <w:p w14:paraId="1BDD656E">
            <w:pPr>
              <w:widowControl/>
              <w:numPr>
                <w:ilvl w:val="0"/>
                <w:numId w:val="6"/>
              </w:numPr>
              <w:spacing w:after="0" w:line="240" w:lineRule="auto"/>
              <w:ind w:left="225" w:hanging="225"/>
              <w:jc w:val="left"/>
              <w:rPr>
                <w:rFonts w:hint="eastAsia" w:ascii="宋体" w:hAnsi="宋体" w:cs="宋体"/>
                <w:kern w:val="0"/>
                <w:szCs w:val="24"/>
              </w:rPr>
            </w:pPr>
            <w:r>
              <w:rPr>
                <w:rFonts w:hint="eastAsia" w:ascii="宋体" w:hAnsi="宋体" w:cs="宋体"/>
                <w:kern w:val="0"/>
                <w:szCs w:val="24"/>
              </w:rPr>
              <w:t>支持规则类型、项目信息和处理方案的检索操作；</w:t>
            </w:r>
          </w:p>
          <w:p w14:paraId="1788E276">
            <w:pPr>
              <w:widowControl/>
              <w:numPr>
                <w:ilvl w:val="0"/>
                <w:numId w:val="6"/>
              </w:numPr>
              <w:spacing w:after="0" w:line="240" w:lineRule="auto"/>
              <w:ind w:left="225" w:hanging="225"/>
              <w:jc w:val="left"/>
              <w:rPr>
                <w:rFonts w:hint="eastAsia" w:ascii="宋体" w:hAnsi="宋体" w:cs="宋体"/>
                <w:kern w:val="0"/>
                <w:szCs w:val="24"/>
              </w:rPr>
            </w:pPr>
            <w:r>
              <w:rPr>
                <w:rFonts w:hint="eastAsia" w:ascii="宋体" w:hAnsi="宋体" w:cs="宋体"/>
                <w:kern w:val="0"/>
                <w:szCs w:val="24"/>
              </w:rPr>
              <w:t>支持对处理方案的查看、修改编辑、删除和医生是否可见等操作；</w:t>
            </w:r>
          </w:p>
          <w:p w14:paraId="796496DD">
            <w:pPr>
              <w:widowControl/>
              <w:numPr>
                <w:ilvl w:val="0"/>
                <w:numId w:val="6"/>
              </w:numPr>
              <w:spacing w:after="0" w:line="240" w:lineRule="auto"/>
              <w:ind w:left="225" w:hanging="225"/>
              <w:jc w:val="left"/>
              <w:rPr>
                <w:rFonts w:hint="eastAsia" w:ascii="宋体" w:hAnsi="宋体" w:cs="宋体"/>
                <w:kern w:val="0"/>
                <w:szCs w:val="24"/>
              </w:rPr>
            </w:pPr>
            <w:r>
              <w:rPr>
                <w:rFonts w:hint="eastAsia" w:ascii="宋体" w:hAnsi="宋体" w:cs="宋体"/>
                <w:kern w:val="0"/>
                <w:szCs w:val="24"/>
              </w:rPr>
              <w:t>可填写和绑定处理方案类型、规则类型、项目信息等内容。</w:t>
            </w:r>
          </w:p>
          <w:p w14:paraId="22FC9FDD">
            <w:pPr>
              <w:widowControl/>
              <w:numPr>
                <w:ilvl w:val="0"/>
                <w:numId w:val="6"/>
              </w:numPr>
              <w:spacing w:after="0" w:line="240" w:lineRule="auto"/>
              <w:ind w:left="225" w:hanging="225"/>
              <w:jc w:val="left"/>
              <w:rPr>
                <w:rFonts w:hint="eastAsia" w:ascii="宋体" w:hAnsi="宋体" w:cs="宋体"/>
                <w:kern w:val="0"/>
                <w:szCs w:val="24"/>
              </w:rPr>
            </w:pPr>
            <w:r>
              <w:rPr>
                <w:rFonts w:hint="eastAsia" w:ascii="宋体" w:hAnsi="宋体" w:cs="宋体"/>
                <w:kern w:val="0"/>
                <w:szCs w:val="24"/>
              </w:rPr>
              <w:t>根据两定下发疑点明细智能匹配违规类型，根据违规类型和医院相关病案文件，利用AI大模型分析病案内容，识别并标注符合申诉要求的部分，生成带标注的申诉图片，再基于图片内容自动生成申诉理由。</w:t>
            </w:r>
          </w:p>
          <w:p w14:paraId="508D9343">
            <w:pPr>
              <w:widowControl/>
              <w:spacing w:after="0" w:line="240" w:lineRule="auto"/>
              <w:ind w:left="225"/>
              <w:jc w:val="left"/>
              <w:rPr>
                <w:rFonts w:hint="eastAsia" w:ascii="宋体" w:hAnsi="宋体" w:cs="宋体"/>
                <w:kern w:val="0"/>
                <w:szCs w:val="24"/>
              </w:rPr>
            </w:pPr>
            <w:r>
              <w:rPr>
                <w:rFonts w:hint="eastAsia" w:ascii="宋体" w:hAnsi="宋体"/>
                <w:kern w:val="0"/>
                <w:szCs w:val="24"/>
              </w:rPr>
              <w:t>（（投标人需提供与以上功能相关系统操作界面截图或视频文件）</w:t>
            </w:r>
          </w:p>
        </w:tc>
      </w:tr>
      <w:tr w14:paraId="2234F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4ACF0B2A">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03EC375B">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18146385">
            <w:pPr>
              <w:spacing w:after="0" w:line="240" w:lineRule="auto"/>
              <w:jc w:val="center"/>
              <w:rPr>
                <w:rFonts w:hint="eastAsia" w:ascii="宋体" w:hAnsi="宋体" w:cs="宋体"/>
                <w:kern w:val="0"/>
                <w:szCs w:val="24"/>
              </w:rPr>
            </w:pPr>
            <w:r>
              <w:rPr>
                <w:rFonts w:hint="eastAsia" w:ascii="宋体" w:hAnsi="宋体" w:cs="宋体"/>
                <w:kern w:val="0"/>
                <w:szCs w:val="24"/>
                <w:lang w:val="zh-CN"/>
              </w:rPr>
              <w:t>申诉模板</w:t>
            </w:r>
          </w:p>
        </w:tc>
        <w:tc>
          <w:tcPr>
            <w:tcW w:w="5954" w:type="dxa"/>
            <w:tcBorders>
              <w:top w:val="single" w:color="auto" w:sz="4" w:space="0"/>
              <w:left w:val="single" w:color="auto" w:sz="4" w:space="0"/>
              <w:bottom w:val="single" w:color="auto" w:sz="4" w:space="0"/>
              <w:right w:val="single" w:color="auto" w:sz="4" w:space="0"/>
            </w:tcBorders>
            <w:vAlign w:val="center"/>
          </w:tcPr>
          <w:p w14:paraId="613AA767">
            <w:pPr>
              <w:spacing w:after="0" w:line="240" w:lineRule="auto"/>
              <w:rPr>
                <w:rFonts w:hint="eastAsia" w:ascii="宋体" w:hAnsi="宋体"/>
                <w:kern w:val="0"/>
              </w:rPr>
            </w:pPr>
            <w:r>
              <w:rPr>
                <w:rFonts w:hint="eastAsia" w:ascii="宋体" w:hAnsi="宋体"/>
                <w:kern w:val="0"/>
              </w:rPr>
              <w:t>支持申诉模板以列表形式进行查看和展示；申诉模板的批量添加操作；支持规则类型、项目信息和申诉模板的检索操作；支持对申诉模板的查看、修改编辑配置操作</w:t>
            </w:r>
          </w:p>
        </w:tc>
      </w:tr>
      <w:tr w14:paraId="2CFC0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right w:val="single" w:color="auto" w:sz="4" w:space="0"/>
            </w:tcBorders>
            <w:vAlign w:val="center"/>
          </w:tcPr>
          <w:p w14:paraId="65BC0BF0">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right w:val="single" w:color="auto" w:sz="4" w:space="0"/>
            </w:tcBorders>
            <w:vAlign w:val="center"/>
          </w:tcPr>
          <w:p w14:paraId="7A22E71A">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2808C662">
            <w:pPr>
              <w:spacing w:after="0" w:line="240" w:lineRule="auto"/>
              <w:jc w:val="center"/>
              <w:rPr>
                <w:rFonts w:hint="eastAsia" w:ascii="宋体" w:hAnsi="宋体" w:cs="宋体"/>
                <w:kern w:val="0"/>
                <w:szCs w:val="24"/>
              </w:rPr>
            </w:pPr>
            <w:r>
              <w:rPr>
                <w:rFonts w:hint="eastAsia" w:ascii="宋体" w:hAnsi="宋体" w:cs="宋体"/>
                <w:kern w:val="0"/>
                <w:szCs w:val="24"/>
                <w:lang w:val="zh-CN"/>
              </w:rPr>
              <w:t>自动申诉规则</w:t>
            </w:r>
          </w:p>
        </w:tc>
        <w:tc>
          <w:tcPr>
            <w:tcW w:w="5954" w:type="dxa"/>
            <w:tcBorders>
              <w:top w:val="single" w:color="auto" w:sz="4" w:space="0"/>
              <w:left w:val="single" w:color="auto" w:sz="4" w:space="0"/>
              <w:bottom w:val="single" w:color="auto" w:sz="4" w:space="0"/>
              <w:right w:val="single" w:color="auto" w:sz="4" w:space="0"/>
            </w:tcBorders>
            <w:vAlign w:val="center"/>
          </w:tcPr>
          <w:p w14:paraId="73AF73D7">
            <w:pPr>
              <w:widowControl/>
              <w:spacing w:after="0" w:line="240" w:lineRule="auto"/>
              <w:jc w:val="left"/>
              <w:rPr>
                <w:rFonts w:hint="eastAsia" w:ascii="宋体" w:hAnsi="宋体"/>
                <w:kern w:val="0"/>
                <w:szCs w:val="24"/>
              </w:rPr>
            </w:pPr>
            <w:r>
              <w:rPr>
                <w:rFonts w:hint="eastAsia" w:ascii="宋体" w:hAnsi="宋体"/>
                <w:kern w:val="0"/>
                <w:szCs w:val="24"/>
              </w:rPr>
              <w:t>支持符合条件的违规自动获取检验报告，诊断，病案信息，历史申诉内容等所需数据并自动生成申诉理由。（投标人需提供与以上功能相关系统操作界面截图或视频文件）</w:t>
            </w:r>
          </w:p>
        </w:tc>
      </w:tr>
      <w:tr w14:paraId="1C142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568" w:type="dxa"/>
            <w:vMerge w:val="continue"/>
            <w:tcBorders>
              <w:left w:val="single" w:color="auto" w:sz="4" w:space="0"/>
              <w:bottom w:val="single" w:color="auto" w:sz="4" w:space="0"/>
              <w:right w:val="single" w:color="auto" w:sz="4" w:space="0"/>
            </w:tcBorders>
            <w:vAlign w:val="center"/>
          </w:tcPr>
          <w:p w14:paraId="5AE2E6FE">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bottom w:val="single" w:color="auto" w:sz="4" w:space="0"/>
              <w:right w:val="single" w:color="auto" w:sz="4" w:space="0"/>
            </w:tcBorders>
            <w:vAlign w:val="center"/>
          </w:tcPr>
          <w:p w14:paraId="4DC48ED1">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08A7BB06">
            <w:pPr>
              <w:spacing w:after="0" w:line="240" w:lineRule="auto"/>
              <w:jc w:val="center"/>
              <w:rPr>
                <w:rFonts w:hint="eastAsia" w:ascii="宋体" w:hAnsi="宋体" w:cs="宋体"/>
                <w:kern w:val="0"/>
                <w:szCs w:val="24"/>
              </w:rPr>
            </w:pPr>
            <w:r>
              <w:rPr>
                <w:rFonts w:hint="eastAsia" w:ascii="宋体" w:hAnsi="宋体" w:cs="宋体"/>
                <w:kern w:val="0"/>
                <w:szCs w:val="24"/>
                <w:lang w:val="zh-CN"/>
              </w:rPr>
              <w:t>自动申诉日志</w:t>
            </w:r>
          </w:p>
        </w:tc>
        <w:tc>
          <w:tcPr>
            <w:tcW w:w="5954" w:type="dxa"/>
            <w:tcBorders>
              <w:top w:val="single" w:color="auto" w:sz="4" w:space="0"/>
              <w:left w:val="single" w:color="auto" w:sz="4" w:space="0"/>
              <w:bottom w:val="single" w:color="auto" w:sz="4" w:space="0"/>
              <w:right w:val="single" w:color="auto" w:sz="4" w:space="0"/>
            </w:tcBorders>
            <w:vAlign w:val="center"/>
          </w:tcPr>
          <w:p w14:paraId="25BE9984">
            <w:pPr>
              <w:spacing w:after="0" w:line="240" w:lineRule="auto"/>
              <w:rPr>
                <w:rFonts w:hint="eastAsia" w:ascii="宋体" w:hAnsi="宋体" w:cs="宋体"/>
                <w:kern w:val="0"/>
                <w:szCs w:val="24"/>
                <w:lang w:val="zh-CN"/>
              </w:rPr>
            </w:pPr>
            <w:r>
              <w:rPr>
                <w:rFonts w:hint="eastAsia" w:ascii="宋体" w:hAnsi="宋体" w:cs="宋体"/>
                <w:kern w:val="0"/>
                <w:szCs w:val="24"/>
                <w:lang w:val="zh-CN"/>
              </w:rPr>
              <w:t>支持自动申诉日志查看。</w:t>
            </w:r>
          </w:p>
        </w:tc>
      </w:tr>
      <w:tr w14:paraId="36FBC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restart"/>
            <w:tcBorders>
              <w:left w:val="single" w:color="auto" w:sz="4" w:space="0"/>
              <w:right w:val="single" w:color="auto" w:sz="4" w:space="0"/>
            </w:tcBorders>
            <w:vAlign w:val="center"/>
          </w:tcPr>
          <w:p w14:paraId="4C8CF22E">
            <w:pPr>
              <w:spacing w:after="0" w:line="240" w:lineRule="auto"/>
              <w:jc w:val="center"/>
              <w:rPr>
                <w:rFonts w:hint="eastAsia" w:ascii="宋体" w:hAnsi="宋体" w:cs="宋体"/>
                <w:kern w:val="0"/>
                <w:szCs w:val="24"/>
                <w:lang w:val="zh-CN"/>
              </w:rPr>
            </w:pPr>
            <w:r>
              <w:rPr>
                <w:rFonts w:hint="eastAsia" w:ascii="宋体" w:hAnsi="宋体" w:cs="宋体"/>
                <w:kern w:val="0"/>
                <w:szCs w:val="24"/>
                <w:lang w:val="zh-CN"/>
              </w:rPr>
              <w:t>9</w:t>
            </w:r>
          </w:p>
        </w:tc>
        <w:tc>
          <w:tcPr>
            <w:tcW w:w="1134" w:type="dxa"/>
            <w:vMerge w:val="restart"/>
            <w:tcBorders>
              <w:left w:val="single" w:color="auto" w:sz="4" w:space="0"/>
              <w:right w:val="single" w:color="auto" w:sz="4" w:space="0"/>
            </w:tcBorders>
            <w:vAlign w:val="center"/>
          </w:tcPr>
          <w:p w14:paraId="5633A481">
            <w:pPr>
              <w:spacing w:after="0" w:line="240" w:lineRule="auto"/>
              <w:jc w:val="center"/>
              <w:rPr>
                <w:rFonts w:hint="eastAsia" w:ascii="宋体" w:hAnsi="宋体" w:cs="宋体"/>
                <w:kern w:val="0"/>
                <w:szCs w:val="24"/>
                <w:lang w:val="zh-CN"/>
              </w:rPr>
            </w:pPr>
            <w:r>
              <w:rPr>
                <w:rFonts w:hint="eastAsia" w:ascii="宋体" w:hAnsi="宋体" w:cs="宋体"/>
                <w:kern w:val="0"/>
                <w:szCs w:val="24"/>
                <w:lang w:val="zh-CN"/>
              </w:rPr>
              <w:t>个人中心</w:t>
            </w:r>
          </w:p>
        </w:tc>
        <w:tc>
          <w:tcPr>
            <w:tcW w:w="1701" w:type="dxa"/>
            <w:tcBorders>
              <w:top w:val="single" w:color="auto" w:sz="4" w:space="0"/>
              <w:left w:val="single" w:color="auto" w:sz="4" w:space="0"/>
              <w:bottom w:val="single" w:color="auto" w:sz="4" w:space="0"/>
              <w:right w:val="single" w:color="auto" w:sz="4" w:space="0"/>
            </w:tcBorders>
            <w:vAlign w:val="center"/>
          </w:tcPr>
          <w:p w14:paraId="163AC1E2">
            <w:pPr>
              <w:spacing w:after="0" w:line="240" w:lineRule="auto"/>
              <w:jc w:val="center"/>
              <w:rPr>
                <w:rFonts w:hint="eastAsia" w:ascii="宋体" w:hAnsi="宋体" w:cs="宋体"/>
                <w:kern w:val="0"/>
                <w:szCs w:val="24"/>
              </w:rPr>
            </w:pPr>
            <w:r>
              <w:rPr>
                <w:rFonts w:hint="eastAsia" w:ascii="宋体" w:hAnsi="宋体" w:cs="宋体"/>
                <w:kern w:val="0"/>
                <w:szCs w:val="24"/>
              </w:rPr>
              <w:t>消息中心</w:t>
            </w:r>
          </w:p>
        </w:tc>
        <w:tc>
          <w:tcPr>
            <w:tcW w:w="5954" w:type="dxa"/>
            <w:tcBorders>
              <w:top w:val="single" w:color="auto" w:sz="4" w:space="0"/>
              <w:left w:val="single" w:color="auto" w:sz="4" w:space="0"/>
              <w:bottom w:val="single" w:color="auto" w:sz="4" w:space="0"/>
              <w:right w:val="single" w:color="auto" w:sz="4" w:space="0"/>
            </w:tcBorders>
            <w:vAlign w:val="center"/>
          </w:tcPr>
          <w:p w14:paraId="672CA67C">
            <w:pPr>
              <w:spacing w:after="0" w:line="240" w:lineRule="auto"/>
              <w:rPr>
                <w:rFonts w:hint="eastAsia" w:ascii="宋体" w:hAnsi="宋体"/>
                <w:kern w:val="0"/>
              </w:rPr>
            </w:pPr>
            <w:r>
              <w:rPr>
                <w:rFonts w:hint="eastAsia" w:ascii="宋体" w:hAnsi="宋体"/>
                <w:kern w:val="0"/>
              </w:rPr>
              <w:t>一站式个人消息管理中心，分栏显示全部消息、已读消息和未读消息。可一站式管理最新消息、任务跑批、飞行检查、其他消息、报告生成、违规审核、两定疑点申诉和其他消息内容。支持按全院、按科室消息进行分类显示</w:t>
            </w:r>
          </w:p>
        </w:tc>
      </w:tr>
      <w:tr w14:paraId="6DDD3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8" w:type="dxa"/>
            <w:vMerge w:val="continue"/>
            <w:tcBorders>
              <w:left w:val="single" w:color="auto" w:sz="4" w:space="0"/>
              <w:bottom w:val="single" w:color="auto" w:sz="4" w:space="0"/>
              <w:right w:val="single" w:color="auto" w:sz="4" w:space="0"/>
            </w:tcBorders>
            <w:vAlign w:val="center"/>
          </w:tcPr>
          <w:p w14:paraId="738436E2">
            <w:pPr>
              <w:spacing w:after="0" w:line="240" w:lineRule="auto"/>
              <w:jc w:val="center"/>
              <w:rPr>
                <w:rFonts w:hint="eastAsia" w:ascii="宋体" w:hAnsi="宋体" w:cs="宋体"/>
                <w:kern w:val="0"/>
                <w:szCs w:val="24"/>
                <w:lang w:val="zh-CN"/>
              </w:rPr>
            </w:pPr>
          </w:p>
        </w:tc>
        <w:tc>
          <w:tcPr>
            <w:tcW w:w="1134" w:type="dxa"/>
            <w:vMerge w:val="continue"/>
            <w:tcBorders>
              <w:left w:val="single" w:color="auto" w:sz="4" w:space="0"/>
              <w:bottom w:val="single" w:color="auto" w:sz="4" w:space="0"/>
              <w:right w:val="single" w:color="auto" w:sz="4" w:space="0"/>
            </w:tcBorders>
            <w:vAlign w:val="center"/>
          </w:tcPr>
          <w:p w14:paraId="323A6E98">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06B185AE">
            <w:pPr>
              <w:spacing w:after="0" w:line="240" w:lineRule="auto"/>
              <w:jc w:val="center"/>
              <w:rPr>
                <w:rFonts w:hint="eastAsia" w:ascii="宋体" w:hAnsi="宋体" w:cs="宋体"/>
                <w:kern w:val="0"/>
                <w:szCs w:val="24"/>
              </w:rPr>
            </w:pPr>
            <w:r>
              <w:rPr>
                <w:rFonts w:hint="eastAsia" w:ascii="宋体" w:hAnsi="宋体" w:cs="宋体"/>
                <w:kern w:val="0"/>
                <w:szCs w:val="24"/>
              </w:rPr>
              <w:t>下载中心</w:t>
            </w:r>
          </w:p>
        </w:tc>
        <w:tc>
          <w:tcPr>
            <w:tcW w:w="5954" w:type="dxa"/>
            <w:tcBorders>
              <w:top w:val="single" w:color="auto" w:sz="4" w:space="0"/>
              <w:left w:val="single" w:color="auto" w:sz="4" w:space="0"/>
              <w:bottom w:val="single" w:color="auto" w:sz="4" w:space="0"/>
              <w:right w:val="single" w:color="auto" w:sz="4" w:space="0"/>
            </w:tcBorders>
            <w:vAlign w:val="center"/>
          </w:tcPr>
          <w:p w14:paraId="63620A1F">
            <w:pPr>
              <w:spacing w:after="0" w:line="240" w:lineRule="auto"/>
              <w:rPr>
                <w:rFonts w:hint="eastAsia" w:ascii="宋体" w:hAnsi="宋体"/>
                <w:kern w:val="0"/>
                <w:szCs w:val="24"/>
              </w:rPr>
            </w:pPr>
            <w:r>
              <w:rPr>
                <w:rFonts w:hint="eastAsia" w:ascii="宋体" w:hAnsi="宋体"/>
                <w:kern w:val="0"/>
                <w:szCs w:val="24"/>
              </w:rPr>
              <w:t>系统内各功能报表下载，都可在下载中心内，进行统一管理和操作，包括：每日预审报表、两定疑点申述报表、分析报告、飞检报告、出院病例和其他下载内容。</w:t>
            </w:r>
          </w:p>
          <w:p w14:paraId="432B4404">
            <w:pPr>
              <w:spacing w:after="0" w:line="240" w:lineRule="auto"/>
              <w:rPr>
                <w:rFonts w:hint="eastAsia" w:ascii="宋体" w:hAnsi="宋体"/>
                <w:kern w:val="0"/>
                <w:szCs w:val="24"/>
              </w:rPr>
            </w:pPr>
            <w:r>
              <w:rPr>
                <w:rFonts w:hint="eastAsia" w:ascii="宋体" w:hAnsi="宋体"/>
                <w:kern w:val="0"/>
                <w:szCs w:val="24"/>
              </w:rPr>
              <w:t>提供下载文件查找，可按文件名称、关键字和文件生成时间等进行搜索和批量操作。</w:t>
            </w:r>
          </w:p>
        </w:tc>
      </w:tr>
      <w:tr w14:paraId="3F827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Merge w:val="restart"/>
            <w:tcBorders>
              <w:top w:val="single" w:color="auto" w:sz="4" w:space="0"/>
              <w:left w:val="single" w:color="auto" w:sz="4" w:space="0"/>
              <w:bottom w:val="single" w:color="auto" w:sz="4" w:space="0"/>
              <w:right w:val="single" w:color="auto" w:sz="4" w:space="0"/>
            </w:tcBorders>
            <w:vAlign w:val="center"/>
          </w:tcPr>
          <w:p w14:paraId="5AB47D56">
            <w:pPr>
              <w:spacing w:after="0" w:line="240" w:lineRule="auto"/>
              <w:jc w:val="center"/>
              <w:rPr>
                <w:rFonts w:hint="eastAsia" w:ascii="宋体" w:hAnsi="宋体" w:cs="宋体"/>
                <w:kern w:val="0"/>
                <w:szCs w:val="24"/>
                <w:lang w:val="zh-CN"/>
              </w:rPr>
            </w:pPr>
            <w:r>
              <w:rPr>
                <w:rFonts w:hint="eastAsia" w:ascii="宋体" w:hAnsi="宋体" w:cs="宋体"/>
                <w:kern w:val="0"/>
                <w:szCs w:val="24"/>
                <w:lang w:val="zh-CN"/>
              </w:rPr>
              <w:t>10</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59392FAC">
            <w:pPr>
              <w:spacing w:after="0" w:line="240" w:lineRule="auto"/>
              <w:jc w:val="center"/>
              <w:rPr>
                <w:rFonts w:hint="eastAsia" w:ascii="宋体" w:hAnsi="宋体" w:cs="宋体"/>
                <w:kern w:val="0"/>
                <w:szCs w:val="24"/>
                <w:lang w:val="zh-CN"/>
              </w:rPr>
            </w:pPr>
            <w:r>
              <w:rPr>
                <w:rFonts w:hint="eastAsia" w:ascii="宋体" w:hAnsi="宋体" w:cs="宋体"/>
                <w:kern w:val="0"/>
                <w:szCs w:val="24"/>
              </w:rPr>
              <w:t>系统管理</w:t>
            </w:r>
          </w:p>
        </w:tc>
        <w:tc>
          <w:tcPr>
            <w:tcW w:w="1701" w:type="dxa"/>
            <w:tcBorders>
              <w:top w:val="single" w:color="auto" w:sz="4" w:space="0"/>
              <w:left w:val="single" w:color="auto" w:sz="4" w:space="0"/>
              <w:bottom w:val="single" w:color="auto" w:sz="4" w:space="0"/>
              <w:right w:val="single" w:color="auto" w:sz="4" w:space="0"/>
            </w:tcBorders>
            <w:vAlign w:val="center"/>
          </w:tcPr>
          <w:p w14:paraId="01E6B4C0">
            <w:pPr>
              <w:spacing w:after="0" w:line="240" w:lineRule="auto"/>
              <w:jc w:val="center"/>
              <w:rPr>
                <w:rFonts w:hint="eastAsia" w:ascii="宋体" w:hAnsi="宋体" w:cs="宋体"/>
                <w:kern w:val="0"/>
                <w:szCs w:val="24"/>
                <w:lang w:val="zh-CN"/>
              </w:rPr>
            </w:pPr>
            <w:r>
              <w:rPr>
                <w:rFonts w:hint="eastAsia" w:ascii="宋体" w:hAnsi="宋体" w:cs="宋体"/>
                <w:kern w:val="0"/>
                <w:szCs w:val="24"/>
              </w:rPr>
              <w:t>菜单管理</w:t>
            </w:r>
          </w:p>
        </w:tc>
        <w:tc>
          <w:tcPr>
            <w:tcW w:w="5954" w:type="dxa"/>
            <w:tcBorders>
              <w:top w:val="single" w:color="auto" w:sz="4" w:space="0"/>
              <w:left w:val="single" w:color="auto" w:sz="4" w:space="0"/>
              <w:bottom w:val="single" w:color="auto" w:sz="4" w:space="0"/>
              <w:right w:val="single" w:color="auto" w:sz="4" w:space="0"/>
            </w:tcBorders>
            <w:vAlign w:val="center"/>
          </w:tcPr>
          <w:p w14:paraId="0AB0E65F">
            <w:pPr>
              <w:spacing w:after="0" w:line="240" w:lineRule="auto"/>
              <w:jc w:val="left"/>
              <w:rPr>
                <w:rFonts w:hint="eastAsia" w:ascii="宋体" w:hAnsi="宋体" w:cs="宋体"/>
                <w:kern w:val="0"/>
                <w:szCs w:val="24"/>
                <w:lang w:val="zh-CN"/>
              </w:rPr>
            </w:pPr>
            <w:r>
              <w:rPr>
                <w:rFonts w:hint="eastAsia" w:ascii="宋体" w:hAnsi="宋体" w:cs="宋体"/>
                <w:kern w:val="0"/>
                <w:szCs w:val="24"/>
              </w:rPr>
              <w:t>可实现对菜单进行添加、修改、查询、删除等操作。</w:t>
            </w:r>
          </w:p>
        </w:tc>
      </w:tr>
      <w:tr w14:paraId="5AAEE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Merge w:val="continue"/>
            <w:tcBorders>
              <w:top w:val="single" w:color="auto" w:sz="4" w:space="0"/>
              <w:left w:val="single" w:color="auto" w:sz="4" w:space="0"/>
              <w:bottom w:val="single" w:color="auto" w:sz="4" w:space="0"/>
              <w:right w:val="single" w:color="auto" w:sz="4" w:space="0"/>
            </w:tcBorders>
            <w:vAlign w:val="center"/>
          </w:tcPr>
          <w:p w14:paraId="0BDA9F12">
            <w:pPr>
              <w:spacing w:after="0" w:line="240" w:lineRule="auto"/>
              <w:jc w:val="center"/>
              <w:rPr>
                <w:rFonts w:hint="eastAsia" w:ascii="宋体" w:hAnsi="宋体" w:cs="宋体"/>
                <w:kern w:val="0"/>
                <w:szCs w:val="24"/>
                <w:lang w:val="zh-CN"/>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5D1532C1">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1148FF51">
            <w:pPr>
              <w:spacing w:after="0" w:line="240" w:lineRule="auto"/>
              <w:jc w:val="center"/>
              <w:rPr>
                <w:rFonts w:hint="eastAsia" w:ascii="宋体" w:hAnsi="宋体" w:cs="宋体"/>
                <w:kern w:val="0"/>
                <w:szCs w:val="24"/>
                <w:lang w:val="zh-CN"/>
              </w:rPr>
            </w:pPr>
            <w:r>
              <w:rPr>
                <w:rFonts w:hint="eastAsia" w:ascii="宋体" w:hAnsi="宋体" w:cs="宋体"/>
                <w:kern w:val="0"/>
                <w:szCs w:val="24"/>
              </w:rPr>
              <w:t>角色管理</w:t>
            </w:r>
          </w:p>
        </w:tc>
        <w:tc>
          <w:tcPr>
            <w:tcW w:w="5954" w:type="dxa"/>
            <w:tcBorders>
              <w:top w:val="single" w:color="auto" w:sz="4" w:space="0"/>
              <w:left w:val="single" w:color="auto" w:sz="4" w:space="0"/>
              <w:bottom w:val="single" w:color="auto" w:sz="4" w:space="0"/>
              <w:right w:val="single" w:color="auto" w:sz="4" w:space="0"/>
            </w:tcBorders>
            <w:vAlign w:val="center"/>
          </w:tcPr>
          <w:p w14:paraId="38777ACD">
            <w:pPr>
              <w:spacing w:after="0" w:line="240" w:lineRule="auto"/>
              <w:jc w:val="left"/>
              <w:rPr>
                <w:rFonts w:hint="eastAsia" w:ascii="宋体" w:hAnsi="宋体" w:cs="宋体"/>
                <w:kern w:val="0"/>
                <w:szCs w:val="24"/>
                <w:lang w:val="zh-CN"/>
              </w:rPr>
            </w:pPr>
            <w:r>
              <w:rPr>
                <w:rFonts w:hint="eastAsia" w:ascii="宋体" w:hAnsi="宋体" w:cs="宋体"/>
                <w:kern w:val="0"/>
                <w:szCs w:val="24"/>
              </w:rPr>
              <w:t>可实现创建、更新角色、启用和禁用角色、删除角色等操作。</w:t>
            </w:r>
          </w:p>
        </w:tc>
      </w:tr>
      <w:tr w14:paraId="73F81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Merge w:val="continue"/>
            <w:tcBorders>
              <w:top w:val="single" w:color="auto" w:sz="4" w:space="0"/>
              <w:left w:val="single" w:color="auto" w:sz="4" w:space="0"/>
              <w:bottom w:val="single" w:color="auto" w:sz="4" w:space="0"/>
              <w:right w:val="single" w:color="auto" w:sz="4" w:space="0"/>
            </w:tcBorders>
            <w:vAlign w:val="center"/>
          </w:tcPr>
          <w:p w14:paraId="0248C4F0">
            <w:pPr>
              <w:spacing w:after="0" w:line="240" w:lineRule="auto"/>
              <w:jc w:val="center"/>
              <w:rPr>
                <w:rFonts w:hint="eastAsia" w:ascii="宋体" w:hAnsi="宋体" w:cs="宋体"/>
                <w:kern w:val="0"/>
                <w:szCs w:val="24"/>
                <w:lang w:val="zh-CN"/>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3CB7D78C">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73D4DDB7">
            <w:pPr>
              <w:spacing w:after="0" w:line="240" w:lineRule="auto"/>
              <w:jc w:val="center"/>
              <w:rPr>
                <w:rFonts w:hint="eastAsia" w:ascii="宋体" w:hAnsi="宋体" w:cs="宋体"/>
                <w:kern w:val="0"/>
                <w:szCs w:val="24"/>
                <w:lang w:val="zh-CN"/>
              </w:rPr>
            </w:pPr>
            <w:r>
              <w:rPr>
                <w:rFonts w:hint="eastAsia" w:ascii="宋体" w:hAnsi="宋体" w:cs="宋体"/>
                <w:kern w:val="0"/>
                <w:szCs w:val="24"/>
              </w:rPr>
              <w:t>用户管理</w:t>
            </w:r>
          </w:p>
        </w:tc>
        <w:tc>
          <w:tcPr>
            <w:tcW w:w="5954" w:type="dxa"/>
            <w:tcBorders>
              <w:top w:val="single" w:color="auto" w:sz="4" w:space="0"/>
              <w:left w:val="single" w:color="auto" w:sz="4" w:space="0"/>
              <w:bottom w:val="single" w:color="auto" w:sz="4" w:space="0"/>
              <w:right w:val="single" w:color="auto" w:sz="4" w:space="0"/>
            </w:tcBorders>
            <w:vAlign w:val="center"/>
          </w:tcPr>
          <w:p w14:paraId="484AADBD">
            <w:pPr>
              <w:spacing w:after="0" w:line="240" w:lineRule="auto"/>
              <w:jc w:val="left"/>
              <w:rPr>
                <w:rFonts w:hint="eastAsia" w:ascii="宋体" w:hAnsi="宋体" w:cs="宋体"/>
                <w:kern w:val="0"/>
                <w:szCs w:val="24"/>
                <w:lang w:val="zh-CN"/>
              </w:rPr>
            </w:pPr>
            <w:r>
              <w:rPr>
                <w:rFonts w:hint="eastAsia" w:ascii="宋体" w:hAnsi="宋体" w:cs="宋体"/>
                <w:kern w:val="0"/>
                <w:szCs w:val="24"/>
              </w:rPr>
              <w:t>可实现添加用户、删除用户、停用用户等操作。</w:t>
            </w:r>
          </w:p>
        </w:tc>
      </w:tr>
      <w:tr w14:paraId="1876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Merge w:val="continue"/>
            <w:tcBorders>
              <w:top w:val="single" w:color="auto" w:sz="4" w:space="0"/>
              <w:left w:val="single" w:color="auto" w:sz="4" w:space="0"/>
              <w:bottom w:val="single" w:color="auto" w:sz="4" w:space="0"/>
              <w:right w:val="single" w:color="auto" w:sz="4" w:space="0"/>
            </w:tcBorders>
            <w:vAlign w:val="center"/>
          </w:tcPr>
          <w:p w14:paraId="100B6DBD">
            <w:pPr>
              <w:spacing w:after="0" w:line="240" w:lineRule="auto"/>
              <w:jc w:val="center"/>
              <w:rPr>
                <w:rFonts w:hint="eastAsia" w:ascii="宋体" w:hAnsi="宋体" w:cs="宋体"/>
                <w:kern w:val="0"/>
                <w:szCs w:val="24"/>
                <w:lang w:val="zh-CN"/>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217DB46B">
            <w:pPr>
              <w:spacing w:after="0" w:line="240" w:lineRule="auto"/>
              <w:jc w:val="center"/>
              <w:rPr>
                <w:rFonts w:hint="eastAsia" w:ascii="宋体" w:hAnsi="宋体" w:cs="宋体"/>
                <w:kern w:val="0"/>
                <w:szCs w:val="24"/>
                <w:lang w:val="zh-CN"/>
              </w:rPr>
            </w:pPr>
          </w:p>
        </w:tc>
        <w:tc>
          <w:tcPr>
            <w:tcW w:w="1701" w:type="dxa"/>
            <w:tcBorders>
              <w:top w:val="single" w:color="auto" w:sz="4" w:space="0"/>
              <w:left w:val="single" w:color="auto" w:sz="4" w:space="0"/>
              <w:bottom w:val="single" w:color="auto" w:sz="4" w:space="0"/>
              <w:right w:val="single" w:color="auto" w:sz="4" w:space="0"/>
            </w:tcBorders>
            <w:vAlign w:val="center"/>
          </w:tcPr>
          <w:p w14:paraId="6E7F2EA8">
            <w:pPr>
              <w:spacing w:after="0" w:line="240" w:lineRule="auto"/>
              <w:jc w:val="center"/>
              <w:rPr>
                <w:rFonts w:hint="eastAsia" w:ascii="宋体" w:hAnsi="宋体" w:cs="宋体"/>
                <w:kern w:val="0"/>
                <w:szCs w:val="24"/>
                <w:lang w:val="zh-CN"/>
              </w:rPr>
            </w:pPr>
            <w:r>
              <w:rPr>
                <w:rFonts w:hint="eastAsia" w:ascii="宋体" w:hAnsi="宋体" w:cs="宋体"/>
                <w:kern w:val="0"/>
                <w:szCs w:val="24"/>
              </w:rPr>
              <w:t>权限管理</w:t>
            </w:r>
          </w:p>
        </w:tc>
        <w:tc>
          <w:tcPr>
            <w:tcW w:w="5954" w:type="dxa"/>
            <w:tcBorders>
              <w:top w:val="single" w:color="auto" w:sz="4" w:space="0"/>
              <w:left w:val="single" w:color="auto" w:sz="4" w:space="0"/>
              <w:bottom w:val="single" w:color="auto" w:sz="4" w:space="0"/>
              <w:right w:val="single" w:color="auto" w:sz="4" w:space="0"/>
            </w:tcBorders>
            <w:vAlign w:val="center"/>
          </w:tcPr>
          <w:p w14:paraId="202DCF4E">
            <w:pPr>
              <w:spacing w:after="0" w:line="240" w:lineRule="auto"/>
              <w:jc w:val="left"/>
              <w:rPr>
                <w:rFonts w:hint="eastAsia" w:ascii="宋体" w:hAnsi="宋体" w:cs="宋体"/>
                <w:kern w:val="0"/>
                <w:szCs w:val="24"/>
                <w:lang w:val="zh-CN"/>
              </w:rPr>
            </w:pPr>
            <w:r>
              <w:rPr>
                <w:rFonts w:hint="eastAsia" w:ascii="宋体" w:hAnsi="宋体" w:cs="宋体"/>
                <w:kern w:val="0"/>
                <w:szCs w:val="24"/>
              </w:rPr>
              <w:t>可实现页面权限管理、操作权限管理、数据权限管理等操作。</w:t>
            </w:r>
          </w:p>
        </w:tc>
      </w:tr>
      <w:tr w14:paraId="55DEB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Borders>
              <w:top w:val="single" w:color="auto" w:sz="4" w:space="0"/>
              <w:left w:val="single" w:color="auto" w:sz="4" w:space="0"/>
              <w:bottom w:val="single" w:color="auto" w:sz="4" w:space="0"/>
              <w:right w:val="single" w:color="auto" w:sz="4" w:space="0"/>
            </w:tcBorders>
            <w:vAlign w:val="center"/>
          </w:tcPr>
          <w:p w14:paraId="1B3C1BF1">
            <w:pPr>
              <w:spacing w:after="0" w:line="240" w:lineRule="auto"/>
              <w:jc w:val="center"/>
              <w:rPr>
                <w:rFonts w:hint="eastAsia" w:ascii="宋体" w:hAnsi="宋体" w:cs="宋体"/>
                <w:kern w:val="0"/>
                <w:szCs w:val="24"/>
                <w:lang w:val="zh-CN"/>
              </w:rPr>
            </w:pPr>
            <w:r>
              <w:rPr>
                <w:rFonts w:hint="eastAsia" w:ascii="宋体" w:hAnsi="宋体" w:cs="宋体"/>
                <w:kern w:val="0"/>
                <w:szCs w:val="24"/>
                <w:lang w:val="zh-CN"/>
              </w:rPr>
              <w:t>11</w:t>
            </w:r>
          </w:p>
        </w:tc>
        <w:tc>
          <w:tcPr>
            <w:tcW w:w="2835" w:type="dxa"/>
            <w:gridSpan w:val="2"/>
            <w:tcBorders>
              <w:top w:val="single" w:color="auto" w:sz="4" w:space="0"/>
              <w:left w:val="single" w:color="auto" w:sz="4" w:space="0"/>
              <w:bottom w:val="single" w:color="auto" w:sz="4" w:space="0"/>
              <w:right w:val="single" w:color="auto" w:sz="4" w:space="0"/>
            </w:tcBorders>
            <w:vAlign w:val="center"/>
          </w:tcPr>
          <w:p w14:paraId="6C089FB9">
            <w:pPr>
              <w:spacing w:after="0" w:line="240" w:lineRule="auto"/>
              <w:jc w:val="center"/>
              <w:rPr>
                <w:rFonts w:hint="eastAsia" w:ascii="宋体" w:hAnsi="宋体" w:cs="宋体"/>
                <w:kern w:val="0"/>
                <w:szCs w:val="24"/>
              </w:rPr>
            </w:pPr>
            <w:r>
              <w:rPr>
                <w:rFonts w:hint="eastAsia" w:ascii="宋体" w:hAnsi="宋体" w:cs="宋体"/>
                <w:kern w:val="0"/>
                <w:szCs w:val="24"/>
              </w:rPr>
              <w:t>▲知识产权</w:t>
            </w:r>
          </w:p>
        </w:tc>
        <w:tc>
          <w:tcPr>
            <w:tcW w:w="5954" w:type="dxa"/>
            <w:tcBorders>
              <w:top w:val="single" w:color="auto" w:sz="4" w:space="0"/>
              <w:left w:val="single" w:color="auto" w:sz="4" w:space="0"/>
              <w:bottom w:val="single" w:color="auto" w:sz="4" w:space="0"/>
              <w:right w:val="single" w:color="auto" w:sz="4" w:space="0"/>
            </w:tcBorders>
            <w:vAlign w:val="center"/>
          </w:tcPr>
          <w:p w14:paraId="21E47EBC">
            <w:pPr>
              <w:pStyle w:val="7"/>
              <w:spacing w:line="276" w:lineRule="auto"/>
              <w:ind w:firstLine="0" w:firstLineChars="0"/>
              <w:rPr>
                <w:rFonts w:hint="eastAsia" w:ascii="宋体" w:hAnsi="宋体"/>
                <w:kern w:val="0"/>
                <w:szCs w:val="24"/>
              </w:rPr>
            </w:pPr>
            <w:r>
              <w:rPr>
                <w:rFonts w:hint="eastAsia" w:ascii="宋体" w:hAnsi="宋体"/>
                <w:kern w:val="0"/>
                <w:szCs w:val="24"/>
              </w:rPr>
              <w:t>投标人需具有与以上产品功能相关的软件著作权证书，如医保收费结算综合管理软件、医保支付智能审核、医保DRG收费管理系统等。</w:t>
            </w:r>
          </w:p>
        </w:tc>
      </w:tr>
      <w:tr w14:paraId="1342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Borders>
              <w:top w:val="single" w:color="auto" w:sz="4" w:space="0"/>
              <w:left w:val="single" w:color="auto" w:sz="4" w:space="0"/>
              <w:bottom w:val="single" w:color="auto" w:sz="4" w:space="0"/>
              <w:right w:val="single" w:color="auto" w:sz="4" w:space="0"/>
            </w:tcBorders>
            <w:vAlign w:val="center"/>
          </w:tcPr>
          <w:p w14:paraId="5BF752AA">
            <w:pPr>
              <w:spacing w:after="0" w:line="240" w:lineRule="auto"/>
              <w:jc w:val="center"/>
              <w:rPr>
                <w:rFonts w:hint="eastAsia" w:ascii="宋体" w:hAnsi="宋体" w:cs="宋体"/>
                <w:kern w:val="0"/>
                <w:szCs w:val="24"/>
                <w:lang w:val="zh-CN"/>
              </w:rPr>
            </w:pPr>
            <w:r>
              <w:rPr>
                <w:rFonts w:hint="eastAsia" w:ascii="宋体" w:hAnsi="宋体" w:cs="宋体"/>
                <w:kern w:val="0"/>
                <w:szCs w:val="24"/>
                <w:lang w:val="zh-CN"/>
              </w:rPr>
              <w:t>1</w:t>
            </w:r>
            <w:r>
              <w:rPr>
                <w:rFonts w:ascii="宋体" w:hAnsi="宋体" w:cs="宋体"/>
                <w:kern w:val="0"/>
                <w:szCs w:val="24"/>
                <w:lang w:val="zh-CN"/>
              </w:rPr>
              <w:t>2</w:t>
            </w:r>
          </w:p>
        </w:tc>
        <w:tc>
          <w:tcPr>
            <w:tcW w:w="2835" w:type="dxa"/>
            <w:gridSpan w:val="2"/>
            <w:tcBorders>
              <w:top w:val="single" w:color="auto" w:sz="4" w:space="0"/>
              <w:left w:val="single" w:color="auto" w:sz="4" w:space="0"/>
              <w:bottom w:val="single" w:color="auto" w:sz="4" w:space="0"/>
              <w:right w:val="single" w:color="auto" w:sz="4" w:space="0"/>
            </w:tcBorders>
            <w:vAlign w:val="center"/>
          </w:tcPr>
          <w:p w14:paraId="3A2B3BB8">
            <w:pPr>
              <w:spacing w:after="0" w:line="240" w:lineRule="auto"/>
              <w:jc w:val="center"/>
              <w:rPr>
                <w:rFonts w:hint="eastAsia" w:ascii="宋体" w:hAnsi="宋体" w:cs="宋体"/>
                <w:kern w:val="0"/>
                <w:szCs w:val="24"/>
              </w:rPr>
            </w:pPr>
            <w:bookmarkStart w:id="9" w:name="OLE_LINK4"/>
            <w:bookmarkStart w:id="10" w:name="OLE_LINK3"/>
            <w:r>
              <w:rPr>
                <w:rFonts w:hint="eastAsia" w:ascii="宋体" w:hAnsi="宋体" w:cs="宋体"/>
                <w:kern w:val="0"/>
                <w:szCs w:val="24"/>
              </w:rPr>
              <w:t>▲</w:t>
            </w:r>
            <w:bookmarkEnd w:id="9"/>
            <w:bookmarkEnd w:id="10"/>
            <w:r>
              <w:rPr>
                <w:rFonts w:hint="eastAsia" w:ascii="宋体" w:hAnsi="宋体"/>
                <w:kern w:val="0"/>
                <w:szCs w:val="24"/>
              </w:rPr>
              <w:t>适配国产化系统</w:t>
            </w:r>
          </w:p>
        </w:tc>
        <w:tc>
          <w:tcPr>
            <w:tcW w:w="5954" w:type="dxa"/>
            <w:tcBorders>
              <w:top w:val="single" w:color="auto" w:sz="4" w:space="0"/>
              <w:left w:val="single" w:color="auto" w:sz="4" w:space="0"/>
              <w:bottom w:val="single" w:color="auto" w:sz="4" w:space="0"/>
              <w:right w:val="single" w:color="auto" w:sz="4" w:space="0"/>
            </w:tcBorders>
            <w:vAlign w:val="center"/>
          </w:tcPr>
          <w:p w14:paraId="279ED444">
            <w:pPr>
              <w:pStyle w:val="7"/>
              <w:spacing w:line="276" w:lineRule="auto"/>
              <w:ind w:firstLine="0" w:firstLineChars="0"/>
              <w:rPr>
                <w:rFonts w:hint="eastAsia" w:ascii="宋体" w:hAnsi="宋体"/>
                <w:kern w:val="0"/>
                <w:szCs w:val="24"/>
              </w:rPr>
            </w:pPr>
            <w:r>
              <w:rPr>
                <w:rFonts w:hint="eastAsia" w:ascii="宋体" w:hAnsi="宋体"/>
                <w:kern w:val="0"/>
                <w:szCs w:val="24"/>
              </w:rPr>
              <w:t>投标产品需能适应医疗信息领域国产化发展，能提供基于信创技术体系版本的实施能力。</w:t>
            </w:r>
          </w:p>
        </w:tc>
      </w:tr>
    </w:tbl>
    <w:p w14:paraId="67154919"/>
    <w:p w14:paraId="4DFD7727"/>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072A03"/>
    <w:multiLevelType w:val="multilevel"/>
    <w:tmpl w:val="01072A03"/>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0F3462B8"/>
    <w:multiLevelType w:val="multilevel"/>
    <w:tmpl w:val="0F3462B8"/>
    <w:lvl w:ilvl="0" w:tentative="0">
      <w:start w:val="1"/>
      <w:numFmt w:val="decimal"/>
      <w:lvlText w:val="%1."/>
      <w:lvlJc w:val="left"/>
      <w:pPr>
        <w:ind w:left="440" w:hanging="440"/>
      </w:pPr>
      <w:rPr>
        <w:rFonts w:ascii="宋体" w:hAnsi="宋体" w:eastAsia="宋体"/>
        <w:sz w:val="24"/>
        <w:szCs w:val="24"/>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22473C29"/>
    <w:multiLevelType w:val="multilevel"/>
    <w:tmpl w:val="22473C29"/>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50797775"/>
    <w:multiLevelType w:val="multilevel"/>
    <w:tmpl w:val="50797775"/>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51253C2F"/>
    <w:multiLevelType w:val="multilevel"/>
    <w:tmpl w:val="51253C2F"/>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62A10E9E"/>
    <w:multiLevelType w:val="multilevel"/>
    <w:tmpl w:val="62A10E9E"/>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EB7"/>
    <w:rsid w:val="00011741"/>
    <w:rsid w:val="0007178E"/>
    <w:rsid w:val="00104F07"/>
    <w:rsid w:val="00216F06"/>
    <w:rsid w:val="00376873"/>
    <w:rsid w:val="003B6C86"/>
    <w:rsid w:val="003E4811"/>
    <w:rsid w:val="005D1CBE"/>
    <w:rsid w:val="00694915"/>
    <w:rsid w:val="00697B18"/>
    <w:rsid w:val="0082794E"/>
    <w:rsid w:val="0091503D"/>
    <w:rsid w:val="00957EE9"/>
    <w:rsid w:val="00A8166C"/>
    <w:rsid w:val="00AD33E2"/>
    <w:rsid w:val="00B07531"/>
    <w:rsid w:val="00B16A3B"/>
    <w:rsid w:val="00B91C2A"/>
    <w:rsid w:val="00BD33E5"/>
    <w:rsid w:val="00D82EB7"/>
    <w:rsid w:val="00E157CD"/>
    <w:rsid w:val="00E94780"/>
    <w:rsid w:val="00F2218C"/>
    <w:rsid w:val="00FF364A"/>
    <w:rsid w:val="1C2472DA"/>
    <w:rsid w:val="1D0977B7"/>
    <w:rsid w:val="5CFE75E9"/>
    <w:rsid w:val="6EDF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20" w:line="360" w:lineRule="auto"/>
      <w:jc w:val="both"/>
    </w:pPr>
    <w:rPr>
      <w:rFonts w:ascii="Times New Roman" w:hAnsi="Times New Roman" w:eastAsia="宋体" w:cs="Times New Roman"/>
      <w:kern w:val="2"/>
      <w:sz w:val="24"/>
      <w:szCs w:val="21"/>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spacing w:line="240" w:lineRule="auto"/>
      <w:jc w:val="left"/>
    </w:pPr>
    <w:rPr>
      <w:sz w:val="18"/>
      <w:szCs w:val="18"/>
    </w:rPr>
  </w:style>
  <w:style w:type="paragraph" w:styleId="3">
    <w:name w:val="header"/>
    <w:basedOn w:val="1"/>
    <w:link w:val="8"/>
    <w:unhideWhenUsed/>
    <w:qFormat/>
    <w:uiPriority w:val="99"/>
    <w:pPr>
      <w:tabs>
        <w:tab w:val="center" w:pos="4153"/>
        <w:tab w:val="right" w:pos="8306"/>
      </w:tabs>
      <w:snapToGrid w:val="0"/>
      <w:spacing w:line="240" w:lineRule="auto"/>
      <w:jc w:val="center"/>
    </w:pPr>
    <w:rPr>
      <w:sz w:val="18"/>
      <w:szCs w:val="18"/>
    </w:rPr>
  </w:style>
  <w:style w:type="table" w:styleId="5">
    <w:name w:val="Table Grid"/>
    <w:basedOn w:val="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正文"/>
    <w:basedOn w:val="1"/>
    <w:qFormat/>
    <w:uiPriority w:val="0"/>
    <w:pPr>
      <w:ind w:firstLine="200" w:firstLineChars="200"/>
    </w:pPr>
    <w:rPr>
      <w:szCs w:val="28"/>
    </w:rPr>
  </w:style>
  <w:style w:type="character" w:customStyle="1" w:styleId="8">
    <w:name w:val="页眉 字符"/>
    <w:basedOn w:val="6"/>
    <w:link w:val="3"/>
    <w:qFormat/>
    <w:uiPriority w:val="99"/>
    <w:rPr>
      <w:rFonts w:ascii="Times New Roman" w:hAnsi="Times New Roman" w:eastAsia="宋体" w:cs="Times New Roman"/>
      <w:sz w:val="18"/>
      <w:szCs w:val="18"/>
      <w14:ligatures w14:val="none"/>
    </w:rPr>
  </w:style>
  <w:style w:type="character" w:customStyle="1" w:styleId="9">
    <w:name w:val="页脚 字符"/>
    <w:basedOn w:val="6"/>
    <w:link w:val="2"/>
    <w:qFormat/>
    <w:uiPriority w:val="99"/>
    <w:rPr>
      <w:rFonts w:ascii="Times New Roman" w:hAnsi="Times New Roman" w:eastAsia="宋体" w:cs="Times New Roman"/>
      <w:sz w:val="18"/>
      <w:szCs w:val="18"/>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5533</Words>
  <Characters>5585</Characters>
  <Lines>271</Lines>
  <Paragraphs>212</Paragraphs>
  <TotalTime>16</TotalTime>
  <ScaleCrop>false</ScaleCrop>
  <LinksUpToDate>false</LinksUpToDate>
  <CharactersWithSpaces>5586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2026-06-22T08:15:00Z</dcterms:created>
  <dc:creator>yuqiang_365@qq.com</dc:creator>
  <cp:lastModifiedBy>橘子桔子橘</cp:lastModifiedBy>
  <dcterms:modified xsi:type="dcterms:W3CDTF">2026-07-13T08:09:54Z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eyJoZGlkIjoiMzMzOTZkYzcxNDYwZTJjZDg0YTk4ZjBlN2Q3ZGNmZjQiLCJ1c2VySWQiOiIxMDE1NDUyMDMwIn0=</vt:lpwstr>
  </property>
  <property fmtid="{D5CDD505-2E9C-101B-9397-08002B2CF9AE}" pid="3" name="KSOProductBuildVer">
    <vt:lpwstr>2052-12.1.0.26895</vt:lpwstr>
  </property>
  <property fmtid="{D5CDD505-2E9C-101B-9397-08002B2CF9AE}" pid="4" name="ICV">
    <vt:lpwstr>F29D05E9674244F0A027C9C134076822_12</vt:lpwstr>
  </property>
</Properties>
</file>