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C5BD7">
      <w:pPr>
        <w:adjustRightInd w:val="0"/>
        <w:snapToGrid w:val="0"/>
        <w:spacing w:after="180" w:afterLines="50"/>
        <w:jc w:val="center"/>
        <w:rPr>
          <w:rFonts w:ascii="DFKai-SB" w:hAnsi="DFKai-SB"/>
          <w:b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Times New Roman"/>
          <w:b/>
          <w:sz w:val="24"/>
          <w:szCs w:val="24"/>
          <w:lang w:eastAsia="zh-CN"/>
        </w:rPr>
        <w:t>严重不良事件报告表（</w:t>
      </w: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医疗器械</w:t>
      </w:r>
      <w:r>
        <w:rPr>
          <w:rFonts w:hint="eastAsia" w:ascii="宋体" w:hAnsi="宋体" w:eastAsia="宋体" w:cs="Times New Roman"/>
          <w:b/>
          <w:sz w:val="24"/>
          <w:szCs w:val="24"/>
          <w:lang w:eastAsia="zh-CN"/>
        </w:rPr>
        <w:t>）</w:t>
      </w:r>
    </w:p>
    <w:tbl>
      <w:tblPr>
        <w:tblStyle w:val="9"/>
        <w:tblW w:w="9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364"/>
        <w:gridCol w:w="1187"/>
        <w:gridCol w:w="794"/>
        <w:gridCol w:w="57"/>
        <w:gridCol w:w="1276"/>
        <w:gridCol w:w="858"/>
        <w:gridCol w:w="417"/>
        <w:gridCol w:w="1778"/>
      </w:tblGrid>
      <w:tr w14:paraId="7D418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38D0D073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4AE5BCAE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</w:tr>
      <w:tr w14:paraId="465EC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3B384CC5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7C1DD5CB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</w:tr>
      <w:tr w14:paraId="3D478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347CF97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25957D38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</w:tr>
      <w:tr w14:paraId="5DB3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121FA39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345" w:type="dxa"/>
            <w:gridSpan w:val="3"/>
            <w:tcBorders>
              <w:tl2br w:val="nil"/>
              <w:tr2bl w:val="nil"/>
            </w:tcBorders>
            <w:vAlign w:val="center"/>
          </w:tcPr>
          <w:p w14:paraId="5F892337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  <w:tc>
          <w:tcPr>
            <w:tcW w:w="2191" w:type="dxa"/>
            <w:gridSpan w:val="3"/>
            <w:tcBorders>
              <w:tl2br w:val="nil"/>
              <w:tr2bl w:val="nil"/>
            </w:tcBorders>
            <w:vAlign w:val="center"/>
          </w:tcPr>
          <w:p w14:paraId="2B18CBE6">
            <w:pPr>
              <w:jc w:val="center"/>
              <w:rPr>
                <w:rFonts w:ascii="Times New Roman" w:hAnsi="Times New Roman" w:eastAsia="宋体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18F3D806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</w:rPr>
            </w:pPr>
          </w:p>
        </w:tc>
      </w:tr>
      <w:tr w14:paraId="2466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55721F1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697C1C2C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</w:tr>
      <w:tr w14:paraId="0497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E1E3F94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3345" w:type="dxa"/>
            <w:gridSpan w:val="3"/>
            <w:tcBorders>
              <w:tl2br w:val="nil"/>
              <w:tr2bl w:val="nil"/>
            </w:tcBorders>
            <w:vAlign w:val="center"/>
          </w:tcPr>
          <w:p w14:paraId="0979D5EE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  <w:tc>
          <w:tcPr>
            <w:tcW w:w="2191" w:type="dxa"/>
            <w:gridSpan w:val="3"/>
            <w:tcBorders>
              <w:tl2br w:val="nil"/>
              <w:tr2bl w:val="nil"/>
            </w:tcBorders>
            <w:vAlign w:val="center"/>
          </w:tcPr>
          <w:p w14:paraId="2210B1AD">
            <w:pPr>
              <w:jc w:val="center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585270AA">
            <w:pPr>
              <w:jc w:val="both"/>
              <w:rPr>
                <w:rFonts w:ascii="Times New Roman" w:hAnsi="Times New Roman" w:eastAsia="宋体" w:cs="Times New Roman"/>
                <w:sz w:val="22"/>
                <w:szCs w:val="21"/>
                <w:lang w:eastAsia="zh-CN"/>
              </w:rPr>
            </w:pPr>
          </w:p>
        </w:tc>
      </w:tr>
      <w:tr w14:paraId="3248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4B1FA967">
            <w:pPr>
              <w:jc w:val="center"/>
              <w:rPr>
                <w:rFonts w:ascii="Times New Roman" w:hAnsi="Times New Roman" w:eastAsia="宋体" w:cs="Times New Roman"/>
                <w:b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研究进展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2BB323A8">
            <w:pPr>
              <w:pStyle w:val="5"/>
              <w:spacing w:line="276" w:lineRule="auto"/>
              <w:jc w:val="both"/>
              <w:rPr>
                <w:rFonts w:ascii="宋体" w:hAnsi="宋体" w:eastAsia="宋体"/>
                <w:color w:val="000000"/>
                <w:sz w:val="21"/>
                <w:szCs w:val="21"/>
                <w:lang w:val="fr-FR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本院研究/试验参与者持续入组中。</w:t>
            </w:r>
          </w:p>
          <w:p w14:paraId="06913083">
            <w:pPr>
              <w:pStyle w:val="5"/>
              <w:spacing w:line="276" w:lineRule="auto"/>
              <w:jc w:val="both"/>
              <w:rPr>
                <w:rFonts w:ascii="宋体" w:hAnsi="宋体" w:eastAsia="宋体"/>
                <w:color w:val="000000"/>
                <w:sz w:val="21"/>
                <w:szCs w:val="21"/>
                <w:lang w:val="fr-FR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fr-FR" w:eastAsia="zh-CN"/>
              </w:rPr>
              <w:t>□ 本院已结束入组研究/试验参与者，但研究持续进行。</w:t>
            </w:r>
          </w:p>
          <w:p w14:paraId="19004C74">
            <w:pPr>
              <w:pStyle w:val="5"/>
              <w:spacing w:line="276" w:lineRule="auto"/>
              <w:jc w:val="both"/>
              <w:rPr>
                <w:rFonts w:ascii="宋体" w:hAnsi="宋体" w:eastAsia="宋体"/>
                <w:color w:val="000000"/>
                <w:sz w:val="21"/>
                <w:szCs w:val="21"/>
                <w:lang w:val="fr-FR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fr-FR" w:eastAsia="zh-CN"/>
              </w:rPr>
              <w:t>□ 本院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研究/试验参与者均已出组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fr-FR" w:eastAsia="zh-CN"/>
              </w:rPr>
              <w:t>，结束追踪，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仅在进行资料整理和数据分析。</w:t>
            </w:r>
          </w:p>
          <w:p w14:paraId="0F6994E3">
            <w:pPr>
              <w:jc w:val="both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 全球已结束入组研究/试验参与者。</w:t>
            </w:r>
          </w:p>
        </w:tc>
      </w:tr>
      <w:tr w14:paraId="1DCB2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vMerge w:val="restart"/>
            <w:tcBorders>
              <w:tl2br w:val="nil"/>
              <w:tr2bl w:val="nil"/>
            </w:tcBorders>
            <w:vAlign w:val="center"/>
          </w:tcPr>
          <w:p w14:paraId="74C4A651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研究/试验参与者信息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center"/>
          </w:tcPr>
          <w:p w14:paraId="435B6014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研究/试验参与者编号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7F863E9D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tcBorders>
              <w:tl2br w:val="nil"/>
              <w:tr2bl w:val="nil"/>
            </w:tcBorders>
            <w:vAlign w:val="center"/>
          </w:tcPr>
          <w:p w14:paraId="4D1132BF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109E2ECC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14:paraId="4929195D">
            <w:pPr>
              <w:jc w:val="center"/>
              <w:rPr>
                <w:rFonts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出生日期</w:t>
            </w:r>
          </w:p>
        </w:tc>
        <w:tc>
          <w:tcPr>
            <w:tcW w:w="1778" w:type="dxa"/>
            <w:tcBorders>
              <w:tl2br w:val="nil"/>
              <w:tr2bl w:val="nil"/>
            </w:tcBorders>
            <w:vAlign w:val="center"/>
          </w:tcPr>
          <w:p w14:paraId="095A3B93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</w:tr>
      <w:tr w14:paraId="2B31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vMerge w:val="continue"/>
            <w:tcBorders>
              <w:tl2br w:val="nil"/>
              <w:tr2bl w:val="nil"/>
            </w:tcBorders>
            <w:vAlign w:val="center"/>
          </w:tcPr>
          <w:p w14:paraId="0F73497F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center"/>
          </w:tcPr>
          <w:p w14:paraId="20CA6F45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身高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62E2AB61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tcBorders>
              <w:tl2br w:val="nil"/>
              <w:tr2bl w:val="nil"/>
            </w:tcBorders>
            <w:vAlign w:val="center"/>
          </w:tcPr>
          <w:p w14:paraId="2C78D4FD">
            <w:pPr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2"/>
                <w:szCs w:val="21"/>
                <w:lang w:eastAsia="zh-CN"/>
              </w:rPr>
              <w:t>体重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B8F7E2B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14:paraId="7187D2EC">
            <w:pPr>
              <w:jc w:val="center"/>
              <w:rPr>
                <w:rFonts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78" w:type="dxa"/>
            <w:tcBorders>
              <w:tl2br w:val="nil"/>
              <w:tr2bl w:val="nil"/>
            </w:tcBorders>
            <w:vAlign w:val="center"/>
          </w:tcPr>
          <w:p w14:paraId="17038BF7">
            <w:pPr>
              <w:jc w:val="center"/>
              <w:rPr>
                <w:rFonts w:ascii="宋体" w:hAnsi="宋体" w:eastAsia="宋体" w:cs="PMingLiU"/>
                <w:kern w:val="0"/>
                <w:sz w:val="22"/>
                <w:szCs w:val="21"/>
                <w:lang w:eastAsia="zh-CN"/>
              </w:rPr>
            </w:pPr>
          </w:p>
        </w:tc>
      </w:tr>
      <w:tr w14:paraId="7DBE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261A2235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试验医疗器械名称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03744A40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58D27781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规格型号/包装规格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5679053B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3B535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FC87989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试验医疗器械分类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0F501AAC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337933D1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需临床试验审批的</w:t>
            </w:r>
          </w:p>
          <w:p w14:paraId="3198382A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第三类医疗器械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56773634">
            <w:pPr>
              <w:jc w:val="left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□是   □否</w:t>
            </w:r>
          </w:p>
        </w:tc>
      </w:tr>
      <w:tr w14:paraId="5735A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2EE38A6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批号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2C48FC83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6C60AE32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生产日期/失效日期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01C0F117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5AA2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341B5991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适用范围或者预期用途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351C1D4F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4B8B7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0BBDFB1F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严重不良事件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医学术语</w:t>
            </w:r>
          </w:p>
          <w:p w14:paraId="52924876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（诊断）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5B713193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4329" w:type="dxa"/>
            <w:gridSpan w:val="4"/>
            <w:tcBorders>
              <w:tl2br w:val="nil"/>
              <w:tr2bl w:val="nil"/>
            </w:tcBorders>
            <w:vAlign w:val="center"/>
          </w:tcPr>
          <w:p w14:paraId="62704645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 xml:space="preserve">首次报告   </w:t>
            </w:r>
          </w:p>
          <w:p w14:paraId="294B09BD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 xml:space="preserve">随访报告 </w:t>
            </w:r>
          </w:p>
          <w:p w14:paraId="7D4CCDEF">
            <w:pPr>
              <w:jc w:val="both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总结报告</w:t>
            </w:r>
          </w:p>
        </w:tc>
      </w:tr>
      <w:tr w14:paraId="5B35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ABB3E5B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使用日期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5C853012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 xml:space="preserve">    </w:t>
            </w: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70EBFD0E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发生日期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530713EB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 xml:space="preserve">  </w:t>
            </w:r>
          </w:p>
        </w:tc>
      </w:tr>
      <w:tr w14:paraId="2C14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04AE7FFF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研究者</w:t>
            </w:r>
          </w:p>
          <w:p w14:paraId="62308BF2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获知日期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6614B1E2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 xml:space="preserve">  </w:t>
            </w: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0102A669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申办者</w:t>
            </w:r>
          </w:p>
          <w:p w14:paraId="59EDD72E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获知日期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1A73F813">
            <w:pPr>
              <w:jc w:val="center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 xml:space="preserve">   </w:t>
            </w:r>
          </w:p>
        </w:tc>
      </w:tr>
      <w:tr w14:paraId="5571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1AB914F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相关性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7C97A482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 xml:space="preserve">□肯定有关  □可能有关  □可能无关  □肯定无关  </w:t>
            </w:r>
          </w:p>
        </w:tc>
      </w:tr>
      <w:tr w14:paraId="25481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6CFE728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严重不良事件结果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0A97E966">
            <w:pPr>
              <w:rPr>
                <w:rFonts w:ascii="宋体" w:hAnsi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□死亡   □危及生命   □研究/试验参与者需要住院治疗   □延长研究/试验参与者住院时间</w:t>
            </w:r>
          </w:p>
          <w:p w14:paraId="588A9F23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□导致永久的或严重的残疾或功能丧失   □先天性异常、出生缺陷</w:t>
            </w:r>
          </w:p>
          <w:p w14:paraId="28D9542A">
            <w:pPr>
              <w:rPr>
                <w:rFonts w:ascii="宋体" w:hAnsi="宋体" w:cs="PMingLiU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□其他：</w:t>
            </w:r>
          </w:p>
        </w:tc>
      </w:tr>
      <w:tr w14:paraId="0CFCA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459544CF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对试验医疗器械采取措施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3A8E5B0C">
            <w:pPr>
              <w:jc w:val="left"/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□继续使用  □减少使用  □暂停使用  □暂停使用后又恢复  □停止使用     □其他   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 xml:space="preserve">   </w:t>
            </w:r>
          </w:p>
        </w:tc>
      </w:tr>
      <w:tr w14:paraId="0EC5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8E96486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严重不良</w:t>
            </w:r>
          </w:p>
          <w:p w14:paraId="1E6EC97D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事件现况</w:t>
            </w:r>
          </w:p>
        </w:tc>
        <w:tc>
          <w:tcPr>
            <w:tcW w:w="7731" w:type="dxa"/>
            <w:gridSpan w:val="8"/>
            <w:tcBorders>
              <w:tl2br w:val="nil"/>
              <w:tr2bl w:val="nil"/>
            </w:tcBorders>
            <w:vAlign w:val="center"/>
          </w:tcPr>
          <w:p w14:paraId="0BF4AD17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□症状消失（后遗症  □有  □无）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>症状持续</w:t>
            </w:r>
          </w:p>
          <w:p w14:paraId="0D442462">
            <w:pP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□症状缓解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□症状加重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195E9CE2">
            <w:pPr>
              <w:rPr>
                <w:rFonts w:ascii="宋体" w:hAnsi="宋体" w:cs="PMingLiU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□死亡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PMingLiU"/>
                <w:bCs/>
                <w:kern w:val="0"/>
                <w:sz w:val="21"/>
                <w:szCs w:val="21"/>
                <w:lang w:eastAsia="zh-CN"/>
              </w:rPr>
              <w:t>□其他：</w:t>
            </w:r>
          </w:p>
        </w:tc>
      </w:tr>
      <w:tr w14:paraId="2712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525166C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是否器械缺陷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7860155D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□是   □否</w:t>
            </w: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60C751A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是否预期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58A3BD2C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□是   □否</w:t>
            </w:r>
          </w:p>
        </w:tc>
      </w:tr>
      <w:tr w14:paraId="2A465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250BC6AB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是否其他严重安全性风险信息</w:t>
            </w:r>
          </w:p>
        </w:tc>
        <w:tc>
          <w:tcPr>
            <w:tcW w:w="3402" w:type="dxa"/>
            <w:gridSpan w:val="4"/>
            <w:tcBorders>
              <w:tl2br w:val="nil"/>
              <w:tr2bl w:val="nil"/>
            </w:tcBorders>
            <w:vAlign w:val="center"/>
          </w:tcPr>
          <w:p w14:paraId="19D70E0F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□是   □否</w:t>
            </w:r>
          </w:p>
        </w:tc>
        <w:tc>
          <w:tcPr>
            <w:tcW w:w="2134" w:type="dxa"/>
            <w:gridSpan w:val="2"/>
            <w:tcBorders>
              <w:tl2br w:val="nil"/>
              <w:tr2bl w:val="nil"/>
            </w:tcBorders>
            <w:vAlign w:val="center"/>
          </w:tcPr>
          <w:p w14:paraId="35E897F7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是否大范围严重不良事件或其他重大安全性问题</w:t>
            </w:r>
          </w:p>
        </w:tc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14:paraId="1F55E9F0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□是   □否</w:t>
            </w:r>
          </w:p>
        </w:tc>
      </w:tr>
      <w:tr w14:paraId="63588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272" w:type="dxa"/>
            <w:gridSpan w:val="9"/>
            <w:tcBorders>
              <w:tl2br w:val="nil"/>
              <w:tr2bl w:val="nil"/>
            </w:tcBorders>
            <w:vAlign w:val="center"/>
          </w:tcPr>
          <w:p w14:paraId="3E9493DC">
            <w:pPr>
              <w:pStyle w:val="22"/>
              <w:numPr>
                <w:ilvl w:val="0"/>
                <w:numId w:val="1"/>
              </w:numPr>
              <w:ind w:leftChars="0"/>
              <w:jc w:val="both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fr-FR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fr-FR" w:eastAsia="zh-CN"/>
              </w:rPr>
              <w:t>事件发生对整体项目的影响及处置 (可复选)</w:t>
            </w:r>
          </w:p>
          <w:p w14:paraId="7FAC03A5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不影响试验进行</w:t>
            </w:r>
          </w:p>
          <w:p w14:paraId="70E874AE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 需修改试验方案</w:t>
            </w:r>
          </w:p>
          <w:p w14:paraId="0E7E4507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 需修改知情同意书</w:t>
            </w:r>
          </w:p>
          <w:p w14:paraId="046F777A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 xml:space="preserve">□ 需增加安全性检查 </w:t>
            </w:r>
          </w:p>
          <w:p w14:paraId="2B1ABEB6">
            <w:pPr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暂停项目执行</w:t>
            </w:r>
          </w:p>
          <w:p w14:paraId="358F0556">
            <w:pPr>
              <w:jc w:val="both"/>
              <w:rPr>
                <w:rFonts w:ascii="宋体" w:hAnsi="宋体" w:eastAsia="宋体"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fr-FR" w:eastAsia="zh-CN" w:bidi="ar-SA"/>
              </w:rPr>
              <w:t>□ 其他：</w:t>
            </w:r>
          </w:p>
        </w:tc>
      </w:tr>
      <w:tr w14:paraId="5B17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272" w:type="dxa"/>
            <w:gridSpan w:val="9"/>
            <w:tcBorders>
              <w:tl2br w:val="nil"/>
              <w:tr2bl w:val="nil"/>
            </w:tcBorders>
            <w:vAlign w:val="center"/>
          </w:tcPr>
          <w:p w14:paraId="1290AA95">
            <w:pPr>
              <w:pStyle w:val="22"/>
              <w:numPr>
                <w:ilvl w:val="0"/>
                <w:numId w:val="1"/>
              </w:numPr>
              <w:ind w:leftChars="0"/>
              <w:jc w:val="both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AE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发生及处理的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详细情况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：</w:t>
            </w:r>
          </w:p>
          <w:p w14:paraId="7B853452">
            <w:pPr>
              <w:pStyle w:val="2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val="en-US" w:eastAsia="zh-CN"/>
              </w:rPr>
              <w:t>递交时，斜体字提示内容请删除！内容尽可能全面，包括入组时间，使用医疗器械的时间，患者诊断和既往重要病史或合并疾病；发生SAE前的相关症状、体征、程度分级，行相关检查和治疗的情况；确认为SAE后的详细救治过程，有助于证实SAE严重性的检查结果等；随访/总结报告中明确是否恢复试验治疗或退出试验，相关的SAE治疗费用由谁承担等。</w:t>
            </w:r>
          </w:p>
          <w:p w14:paraId="1E80E61C">
            <w:pPr>
              <w:pStyle w:val="2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/>
                <w:iCs/>
                <w:color w:val="1F497D" w:themeColor="text2"/>
                <w:sz w:val="18"/>
                <w:szCs w:val="18"/>
                <w:u w:val="none"/>
                <w:lang w:eastAsia="zh-CN"/>
              </w:rPr>
            </w:pPr>
          </w:p>
          <w:p w14:paraId="0AF76D72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7FA836F0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244BEA04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1EFB5E1B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646AD741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44AF66E0">
            <w:pPr>
              <w:pStyle w:val="22"/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</w:tr>
      <w:tr w14:paraId="6468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1" w:type="dxa"/>
            <w:tcBorders>
              <w:tl2br w:val="nil"/>
              <w:tr2bl w:val="nil"/>
            </w:tcBorders>
            <w:vAlign w:val="center"/>
          </w:tcPr>
          <w:p w14:paraId="11B85C2C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主要研究者</w:t>
            </w:r>
          </w:p>
          <w:p w14:paraId="3108DD57">
            <w:pPr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签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名</w:t>
            </w:r>
          </w:p>
        </w:tc>
        <w:tc>
          <w:tcPr>
            <w:tcW w:w="4678" w:type="dxa"/>
            <w:gridSpan w:val="5"/>
            <w:tcBorders>
              <w:tl2br w:val="nil"/>
              <w:tr2bl w:val="nil"/>
            </w:tcBorders>
            <w:vAlign w:val="center"/>
          </w:tcPr>
          <w:p w14:paraId="6CA5AAFF">
            <w:pPr>
              <w:jc w:val="both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3053" w:type="dxa"/>
            <w:gridSpan w:val="3"/>
            <w:tcBorders>
              <w:tl2br w:val="nil"/>
              <w:tr2bl w:val="nil"/>
            </w:tcBorders>
            <w:vAlign w:val="center"/>
          </w:tcPr>
          <w:p w14:paraId="21BC615E">
            <w:pPr>
              <w:jc w:val="both"/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1"/>
                <w:szCs w:val="21"/>
                <w:lang w:eastAsia="zh-CN"/>
              </w:rPr>
              <w:t>日期：</w:t>
            </w:r>
          </w:p>
        </w:tc>
      </w:tr>
    </w:tbl>
    <w:p w14:paraId="4FEA9993">
      <w:pPr>
        <w:ind w:firstLine="180" w:firstLineChars="100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kern w:val="0"/>
          <w:sz w:val="18"/>
          <w:szCs w:val="18"/>
        </w:rPr>
        <w:t>注：本表所述医疗器械包括体外诊断试剂。</w:t>
      </w:r>
    </w:p>
    <w:p w14:paraId="6EF12D8E">
      <w:pPr>
        <w:rPr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FKai-SB">
    <w:altName w:val="苹方-简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6" w:usb3="00000000" w:csb0="001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3E12DD77">
        <w:pPr>
          <w:pStyle w:val="5"/>
          <w:jc w:val="center"/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  <w:lang w:val="zh-CN" w:eastAsia="zh-CN"/>
          </w:rPr>
          <w:t>/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NUMPAGES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6B4E0556">
      <w:trPr>
        <w:trHeight w:val="283" w:hRule="atLeast"/>
        <w:jc w:val="center"/>
      </w:trPr>
      <w:tc>
        <w:tcPr>
          <w:tcW w:w="5114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2525B557">
          <w:pPr>
            <w:tabs>
              <w:tab w:val="center" w:pos="4153"/>
              <w:tab w:val="right" w:pos="8306"/>
            </w:tabs>
            <w:snapToGrid w:val="0"/>
            <w:rPr>
              <w:color w:val="000000"/>
              <w:sz w:val="2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32AA8B1F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Times New Roman" w:eastAsia="DFKai-SB"/>
              <w:sz w:val="20"/>
              <w:szCs w:val="20"/>
            </w:rPr>
          </w:pPr>
          <w:r>
            <w:rPr>
              <w:rFonts w:hint="eastAsia" w:ascii="Times New Roman" w:hAnsi="DFKai-SB" w:eastAsia="宋体"/>
              <w:sz w:val="20"/>
              <w:szCs w:val="20"/>
              <w:lang w:eastAsia="zh-CN"/>
            </w:rPr>
            <w:t>记录编号及版本</w:t>
          </w:r>
        </w:p>
      </w:tc>
      <w:tc>
        <w:tcPr>
          <w:tcW w:w="2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53A7E6CC">
          <w:pPr>
            <w:tabs>
              <w:tab w:val="center" w:pos="4153"/>
              <w:tab w:val="right" w:pos="8306"/>
            </w:tabs>
            <w:snapToGrid w:val="0"/>
            <w:jc w:val="both"/>
            <w:rPr>
              <w:rFonts w:hint="default" w:ascii="Times New Roman" w:hAnsi="Times New Roman"/>
              <w:sz w:val="20"/>
              <w:szCs w:val="20"/>
              <w:lang w:val="en-US"/>
            </w:rPr>
          </w:pP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IRB-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SOP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-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1</w:t>
          </w:r>
          <w:r>
            <w:rPr>
              <w:rFonts w:hint="eastAsia" w:ascii="Times New Roman" w:hAnsi="Times New Roman" w:eastAsia="宋体"/>
              <w:sz w:val="20"/>
              <w:szCs w:val="20"/>
              <w:lang w:eastAsia="zh-CN"/>
            </w:rPr>
            <w:t>2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-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.0-AF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-0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2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-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4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.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0</w:t>
          </w:r>
        </w:p>
      </w:tc>
    </w:tr>
    <w:tr w14:paraId="667AD6F4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0" w:type="auto"/>
          <w:vMerge w:val="continue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2B2F9D4B">
          <w:pPr>
            <w:widowControl/>
            <w:rPr>
              <w:color w:val="000000"/>
              <w:sz w:val="20"/>
              <w:szCs w:val="24"/>
            </w:rPr>
          </w:pPr>
        </w:p>
      </w:tc>
      <w:tc>
        <w:tcPr>
          <w:tcW w:w="183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5CB21332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DFKai-SB" w:eastAsia="DFKai-SB"/>
              <w:sz w:val="20"/>
              <w:szCs w:val="20"/>
            </w:rPr>
          </w:pPr>
          <w:r>
            <w:rPr>
              <w:rFonts w:hint="eastAsia" w:ascii="宋体" w:hAnsi="宋体" w:eastAsia="宋体"/>
              <w:sz w:val="20"/>
              <w:szCs w:val="20"/>
            </w:rPr>
            <w:t>文件生效日期</w:t>
          </w:r>
        </w:p>
      </w:tc>
      <w:tc>
        <w:tcPr>
          <w:tcW w:w="2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369753E9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202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9</w:t>
          </w: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1</w:t>
          </w:r>
        </w:p>
      </w:tc>
    </w:tr>
  </w:tbl>
  <w:p w14:paraId="11952928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576A4"/>
    <w:multiLevelType w:val="multilevel"/>
    <w:tmpl w:val="62C576A4"/>
    <w:lvl w:ilvl="0" w:tentative="0">
      <w:start w:val="1"/>
      <w:numFmt w:val="taiwaneseCountingThousand"/>
      <w:lvlText w:val="%1、"/>
      <w:lvlJc w:val="left"/>
      <w:pPr>
        <w:ind w:left="480" w:hanging="480"/>
      </w:p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05D83"/>
    <w:rsid w:val="000177E0"/>
    <w:rsid w:val="00022A32"/>
    <w:rsid w:val="000522CF"/>
    <w:rsid w:val="000563E8"/>
    <w:rsid w:val="00066338"/>
    <w:rsid w:val="000B3B67"/>
    <w:rsid w:val="000B59E1"/>
    <w:rsid w:val="000C0A4F"/>
    <w:rsid w:val="000E4E7E"/>
    <w:rsid w:val="000F24E6"/>
    <w:rsid w:val="000F2632"/>
    <w:rsid w:val="000F786B"/>
    <w:rsid w:val="0010668B"/>
    <w:rsid w:val="00110089"/>
    <w:rsid w:val="00112896"/>
    <w:rsid w:val="00125464"/>
    <w:rsid w:val="0015257E"/>
    <w:rsid w:val="00166468"/>
    <w:rsid w:val="001916C0"/>
    <w:rsid w:val="00196C5D"/>
    <w:rsid w:val="00197B1E"/>
    <w:rsid w:val="001F02BF"/>
    <w:rsid w:val="001F1DE3"/>
    <w:rsid w:val="001F2A7C"/>
    <w:rsid w:val="0022721D"/>
    <w:rsid w:val="00227D7D"/>
    <w:rsid w:val="00241AFB"/>
    <w:rsid w:val="00267DD6"/>
    <w:rsid w:val="002771DD"/>
    <w:rsid w:val="00280E29"/>
    <w:rsid w:val="00294449"/>
    <w:rsid w:val="00297C01"/>
    <w:rsid w:val="002B050E"/>
    <w:rsid w:val="002B2AA0"/>
    <w:rsid w:val="002D159C"/>
    <w:rsid w:val="002F3460"/>
    <w:rsid w:val="00307228"/>
    <w:rsid w:val="003116B4"/>
    <w:rsid w:val="00317601"/>
    <w:rsid w:val="00325BAA"/>
    <w:rsid w:val="00331B0E"/>
    <w:rsid w:val="003618D7"/>
    <w:rsid w:val="003669B7"/>
    <w:rsid w:val="00393317"/>
    <w:rsid w:val="003C6F08"/>
    <w:rsid w:val="003E257A"/>
    <w:rsid w:val="0040671E"/>
    <w:rsid w:val="00455B74"/>
    <w:rsid w:val="00464E61"/>
    <w:rsid w:val="00492A27"/>
    <w:rsid w:val="00496B18"/>
    <w:rsid w:val="004E1A2B"/>
    <w:rsid w:val="00504521"/>
    <w:rsid w:val="0050584D"/>
    <w:rsid w:val="00506EF9"/>
    <w:rsid w:val="00532D89"/>
    <w:rsid w:val="00535E6C"/>
    <w:rsid w:val="00536201"/>
    <w:rsid w:val="0054130B"/>
    <w:rsid w:val="00562001"/>
    <w:rsid w:val="00577FE5"/>
    <w:rsid w:val="0058567C"/>
    <w:rsid w:val="005866AD"/>
    <w:rsid w:val="00587722"/>
    <w:rsid w:val="005945F4"/>
    <w:rsid w:val="00594ADA"/>
    <w:rsid w:val="005A1B2E"/>
    <w:rsid w:val="005B78F7"/>
    <w:rsid w:val="00611F1E"/>
    <w:rsid w:val="0061364A"/>
    <w:rsid w:val="00623D7E"/>
    <w:rsid w:val="00653413"/>
    <w:rsid w:val="006534D0"/>
    <w:rsid w:val="00663BFE"/>
    <w:rsid w:val="00677477"/>
    <w:rsid w:val="0068347A"/>
    <w:rsid w:val="006A6633"/>
    <w:rsid w:val="006B0F45"/>
    <w:rsid w:val="006B30F9"/>
    <w:rsid w:val="006B5AC0"/>
    <w:rsid w:val="006E1A9D"/>
    <w:rsid w:val="006F1A71"/>
    <w:rsid w:val="006F2FE9"/>
    <w:rsid w:val="006F537C"/>
    <w:rsid w:val="0070516A"/>
    <w:rsid w:val="00710C2C"/>
    <w:rsid w:val="00711BC8"/>
    <w:rsid w:val="00720969"/>
    <w:rsid w:val="00727EEC"/>
    <w:rsid w:val="00732B6D"/>
    <w:rsid w:val="00733639"/>
    <w:rsid w:val="00742855"/>
    <w:rsid w:val="0074343F"/>
    <w:rsid w:val="00743B29"/>
    <w:rsid w:val="00745ADA"/>
    <w:rsid w:val="00754C61"/>
    <w:rsid w:val="0077637F"/>
    <w:rsid w:val="007878C4"/>
    <w:rsid w:val="007A38F8"/>
    <w:rsid w:val="007B251B"/>
    <w:rsid w:val="007B4F4A"/>
    <w:rsid w:val="007C1430"/>
    <w:rsid w:val="007C1A43"/>
    <w:rsid w:val="007C68BA"/>
    <w:rsid w:val="007D6B56"/>
    <w:rsid w:val="007E0CF3"/>
    <w:rsid w:val="007E3254"/>
    <w:rsid w:val="007F38F4"/>
    <w:rsid w:val="00801FE3"/>
    <w:rsid w:val="00807DB2"/>
    <w:rsid w:val="00825916"/>
    <w:rsid w:val="00837F96"/>
    <w:rsid w:val="00847367"/>
    <w:rsid w:val="00851D11"/>
    <w:rsid w:val="0087137D"/>
    <w:rsid w:val="0087773B"/>
    <w:rsid w:val="008779E4"/>
    <w:rsid w:val="00887C27"/>
    <w:rsid w:val="008A567A"/>
    <w:rsid w:val="008E6F30"/>
    <w:rsid w:val="00904623"/>
    <w:rsid w:val="00905006"/>
    <w:rsid w:val="0093071E"/>
    <w:rsid w:val="0093192A"/>
    <w:rsid w:val="009637FD"/>
    <w:rsid w:val="009A7DB9"/>
    <w:rsid w:val="009B23C5"/>
    <w:rsid w:val="009C66B7"/>
    <w:rsid w:val="009C70C8"/>
    <w:rsid w:val="009E5815"/>
    <w:rsid w:val="00A20102"/>
    <w:rsid w:val="00A27F4E"/>
    <w:rsid w:val="00A60C3E"/>
    <w:rsid w:val="00A7269D"/>
    <w:rsid w:val="00AA3518"/>
    <w:rsid w:val="00AA6C90"/>
    <w:rsid w:val="00AF64D4"/>
    <w:rsid w:val="00B93B8E"/>
    <w:rsid w:val="00BD4C16"/>
    <w:rsid w:val="00BD4F13"/>
    <w:rsid w:val="00C008DA"/>
    <w:rsid w:val="00C175FF"/>
    <w:rsid w:val="00C30AA7"/>
    <w:rsid w:val="00C34EEE"/>
    <w:rsid w:val="00C44C63"/>
    <w:rsid w:val="00C45C65"/>
    <w:rsid w:val="00C8197F"/>
    <w:rsid w:val="00C84138"/>
    <w:rsid w:val="00C84F62"/>
    <w:rsid w:val="00C857EF"/>
    <w:rsid w:val="00CA3932"/>
    <w:rsid w:val="00CB3FF3"/>
    <w:rsid w:val="00CE6C22"/>
    <w:rsid w:val="00CE721D"/>
    <w:rsid w:val="00D56A27"/>
    <w:rsid w:val="00D71399"/>
    <w:rsid w:val="00D83701"/>
    <w:rsid w:val="00D92A07"/>
    <w:rsid w:val="00DB1A5D"/>
    <w:rsid w:val="00DB2878"/>
    <w:rsid w:val="00DC1845"/>
    <w:rsid w:val="00DD34B6"/>
    <w:rsid w:val="00E0117C"/>
    <w:rsid w:val="00E07A9D"/>
    <w:rsid w:val="00E13940"/>
    <w:rsid w:val="00E30BA7"/>
    <w:rsid w:val="00E32D3F"/>
    <w:rsid w:val="00E364A9"/>
    <w:rsid w:val="00E653E2"/>
    <w:rsid w:val="00EA505D"/>
    <w:rsid w:val="00EC68DA"/>
    <w:rsid w:val="00ED6AB1"/>
    <w:rsid w:val="00ED6C18"/>
    <w:rsid w:val="00EF4E6A"/>
    <w:rsid w:val="00F30F7B"/>
    <w:rsid w:val="00F33544"/>
    <w:rsid w:val="00F45539"/>
    <w:rsid w:val="00F71E51"/>
    <w:rsid w:val="00F7449F"/>
    <w:rsid w:val="00F967E8"/>
    <w:rsid w:val="00FA01FD"/>
    <w:rsid w:val="00FE2EFD"/>
    <w:rsid w:val="00FE438D"/>
    <w:rsid w:val="045C10A8"/>
    <w:rsid w:val="0B311207"/>
    <w:rsid w:val="102605CD"/>
    <w:rsid w:val="129F0AAB"/>
    <w:rsid w:val="12FBE0AB"/>
    <w:rsid w:val="16476450"/>
    <w:rsid w:val="1AB852FB"/>
    <w:rsid w:val="1BD17F27"/>
    <w:rsid w:val="1F5C3826"/>
    <w:rsid w:val="1FD33464"/>
    <w:rsid w:val="243472A5"/>
    <w:rsid w:val="28AD5878"/>
    <w:rsid w:val="2C1368BF"/>
    <w:rsid w:val="2EA9088F"/>
    <w:rsid w:val="38814D4C"/>
    <w:rsid w:val="3AF64ADA"/>
    <w:rsid w:val="3B6338B5"/>
    <w:rsid w:val="4045485F"/>
    <w:rsid w:val="4A5F86BA"/>
    <w:rsid w:val="50C03272"/>
    <w:rsid w:val="51644DBE"/>
    <w:rsid w:val="52A71E97"/>
    <w:rsid w:val="54E55546"/>
    <w:rsid w:val="55BF2453"/>
    <w:rsid w:val="55BFCDB5"/>
    <w:rsid w:val="5D8440F2"/>
    <w:rsid w:val="5F4C5068"/>
    <w:rsid w:val="675073D0"/>
    <w:rsid w:val="68812AA4"/>
    <w:rsid w:val="688B7CED"/>
    <w:rsid w:val="6C903026"/>
    <w:rsid w:val="7BDA7866"/>
    <w:rsid w:val="7C2A27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nhideWhenUsed/>
    <w:qFormat/>
    <w:uiPriority w:val="99"/>
  </w:style>
  <w:style w:type="paragraph" w:styleId="3">
    <w:name w:val="Block Text"/>
    <w:basedOn w:val="1"/>
    <w:qFormat/>
    <w:uiPriority w:val="0"/>
    <w:pPr>
      <w:snapToGrid w:val="0"/>
      <w:spacing w:beforeLines="20" w:afterLines="20" w:line="400" w:lineRule="exact"/>
      <w:ind w:left="571" w:leftChars="238" w:right="571" w:rightChars="238"/>
      <w:jc w:val="center"/>
    </w:pPr>
    <w:rPr>
      <w:rFonts w:ascii="Times New Roman" w:hAnsi="Times New Roman" w:eastAsia="DFKai-SB" w:cs="Times New Roman"/>
      <w:sz w:val="28"/>
      <w:szCs w:val="20"/>
    </w:rPr>
  </w:style>
  <w:style w:type="paragraph" w:styleId="4">
    <w:name w:val="Balloon Text"/>
    <w:basedOn w:val="1"/>
    <w:link w:val="17"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head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7">
    <w:name w:val="annotation subject"/>
    <w:basedOn w:val="2"/>
    <w:next w:val="2"/>
    <w:link w:val="19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styleId="13">
    <w:name w:val="annotation reference"/>
    <w:basedOn w:val="10"/>
    <w:unhideWhenUsed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0"/>
    <w:rPr>
      <w:sz w:val="20"/>
      <w:szCs w:val="20"/>
    </w:rPr>
  </w:style>
  <w:style w:type="character" w:customStyle="1" w:styleId="15">
    <w:name w:val="页脚 字符"/>
    <w:basedOn w:val="10"/>
    <w:link w:val="5"/>
    <w:qFormat/>
    <w:uiPriority w:val="99"/>
    <w:rPr>
      <w:sz w:val="20"/>
      <w:szCs w:val="20"/>
    </w:rPr>
  </w:style>
  <w:style w:type="paragraph" w:customStyle="1" w:styleId="16">
    <w:name w:val="清單段落1"/>
    <w:basedOn w:val="1"/>
    <w:qFormat/>
    <w:uiPriority w:val="34"/>
    <w:pPr>
      <w:ind w:left="480" w:leftChars="200"/>
    </w:pPr>
  </w:style>
  <w:style w:type="character" w:customStyle="1" w:styleId="17">
    <w:name w:val="批注框文本 字符"/>
    <w:basedOn w:val="10"/>
    <w:link w:val="4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8">
    <w:name w:val="批注文字 字符"/>
    <w:basedOn w:val="10"/>
    <w:link w:val="2"/>
    <w:semiHidden/>
    <w:qFormat/>
    <w:uiPriority w:val="99"/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</w:rPr>
  </w:style>
  <w:style w:type="paragraph" w:customStyle="1" w:styleId="20">
    <w:name w:val="Table Text"/>
    <w:basedOn w:val="1"/>
    <w:qFormat/>
    <w:uiPriority w:val="0"/>
    <w:pPr>
      <w:tabs>
        <w:tab w:val="decimal" w:pos="0"/>
      </w:tabs>
      <w:autoSpaceDE w:val="0"/>
      <w:autoSpaceDN w:val="0"/>
      <w:adjustRightInd w:val="0"/>
    </w:pPr>
    <w:rPr>
      <w:rFonts w:ascii="Times New Roman" w:hAnsi="Times New Roman" w:eastAsia="PMingLiU" w:cs="Times New Roman"/>
      <w:kern w:val="0"/>
      <w:szCs w:val="24"/>
    </w:rPr>
  </w:style>
  <w:style w:type="paragraph" w:customStyle="1" w:styleId="21">
    <w:name w:val="Char"/>
    <w:basedOn w:val="1"/>
    <w:qFormat/>
    <w:uiPriority w:val="0"/>
    <w:pPr>
      <w:widowControl/>
      <w:spacing w:after="160" w:line="240" w:lineRule="exact"/>
    </w:pPr>
    <w:rPr>
      <w:rFonts w:ascii="Times New Roman" w:hAnsi="Times New Roman" w:eastAsia="宋体" w:cs="Times New Roman"/>
      <w:sz w:val="21"/>
      <w:szCs w:val="24"/>
      <w:lang w:eastAsia="zh-CN"/>
    </w:rPr>
  </w:style>
  <w:style w:type="paragraph" w:styleId="22">
    <w:name w:val="List Paragraph"/>
    <w:basedOn w:val="1"/>
    <w:unhideWhenUsed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71383-4C6A-4062-92FD-EC6ECD63B9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762</Words>
  <Characters>772</Characters>
  <Lines>7</Lines>
  <Paragraphs>1</Paragraphs>
  <TotalTime>0</TotalTime>
  <ScaleCrop>false</ScaleCrop>
  <LinksUpToDate>false</LinksUpToDate>
  <CharactersWithSpaces>884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2017-10-28T02:21:00Z</dcterms:created>
  <dc:creator>Sherry Liu</dc:creator>
  <cp:lastModifiedBy>群星眷属</cp:lastModifiedBy>
  <cp:lastPrinted>2023-08-25T06:50:00Z</cp:lastPrinted>
  <dcterms:modified xsi:type="dcterms:W3CDTF">2026-08-13T11:26:19Z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C0A2F307D67BB17272FE7568B77FA4FB_42</vt:lpwstr>
  </property>
  <property fmtid="{D5CDD505-2E9C-101B-9397-08002B2CF9AE}" pid="4" name="KSOTemplateDocerSaveRecord">
    <vt:lpwstr>eyJoZGlkIjoiYjFhYTMxYzIxMDQ4MTA1N2M3NDUxNzI1MjJiOTliNDEiLCJ1c2VySWQiOiIzODE5NDE4NTUifQ==</vt:lpwstr>
  </property>
</Properties>
</file>