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209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  <w:t>母婴保健中心母婴护理服务项目需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eastAsia="zh-CN"/>
        </w:rPr>
        <w:t>求</w:t>
      </w:r>
    </w:p>
    <w:p w14:paraId="6675328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项目名称：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母婴保健中心母婴护理服务</w:t>
      </w:r>
    </w:p>
    <w:p w14:paraId="3920EC9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服务期限：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2年</w:t>
      </w:r>
    </w:p>
    <w:p w14:paraId="3AFD869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月嫂服务范围：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妇产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科</w:t>
      </w:r>
    </w:p>
    <w:p w14:paraId="54C394E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论证资格要求：</w:t>
      </w:r>
    </w:p>
    <w:p w14:paraId="6E333C06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投标人应当具备下列条件：</w:t>
      </w:r>
    </w:p>
    <w:p w14:paraId="3E92AC8A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具有独立承担民事责任的能力；</w:t>
      </w:r>
    </w:p>
    <w:p w14:paraId="1BF1F570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具有良好的商业信誉和健全的财务会计制度；</w:t>
      </w:r>
    </w:p>
    <w:p w14:paraId="2C619238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具有履行合同所必需的月嫂陪护资质和服务经验，应招标项目要求，需持有月嫂资质证的人员投入本项目服务；</w:t>
      </w:r>
    </w:p>
    <w:p w14:paraId="36334197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有依法缴纳税收和社会保障金的良好记录；</w:t>
      </w:r>
    </w:p>
    <w:p w14:paraId="67681020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参加招标活动前经营活动中的三年内，无重大违法记录；</w:t>
      </w:r>
    </w:p>
    <w:p w14:paraId="1E3F8666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熟悉本项目服务相关的法律、法规及行业要求；</w:t>
      </w:r>
    </w:p>
    <w:p w14:paraId="0613CAAE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本项目不接受联合体投标或代理方投标；</w:t>
      </w:r>
    </w:p>
    <w:p w14:paraId="40531D99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具有月嫂管理经营资质，在以往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有母婴家庭护理经验、在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月子会所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或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医疗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机构合作中无纠纷方面的不良记录；</w:t>
      </w:r>
    </w:p>
    <w:p w14:paraId="4FA34CC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kern w:val="0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kern w:val="0"/>
          <w:sz w:val="24"/>
          <w:szCs w:val="24"/>
          <w:lang w:val="en-US" w:eastAsia="zh-TW" w:bidi="ar-SA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报名材料准备（书面加盖公章）</w:t>
      </w:r>
    </w:p>
    <w:p w14:paraId="46C4373E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营业执照及复印件（原件备查）；</w:t>
      </w:r>
    </w:p>
    <w:p w14:paraId="70882907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投标公司简介及现有经营项目简介；</w:t>
      </w:r>
    </w:p>
    <w:p w14:paraId="329AD3C6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法人授权委托书（报名经办人必须为投标单位员工，提供社保缴纳证明及劳动合同等材料），限法定代表人身份证复印件；</w:t>
      </w:r>
    </w:p>
    <w:p w14:paraId="78BB31DC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具有专业服务团队和正规的办公场所的证明，具有自有办公场所房产证明材料或租赁合同（复印件）；</w:t>
      </w:r>
    </w:p>
    <w:p w14:paraId="4074CA72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如有其它证书等一并提供；</w:t>
      </w:r>
    </w:p>
    <w:p w14:paraId="5B8745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注：所有内容需加盖公章</w:t>
      </w:r>
    </w:p>
    <w:p w14:paraId="4BC931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</w:p>
    <w:p w14:paraId="056344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5338FB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7D7A53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08FDB2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3716B2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02DC97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379231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688451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4471AA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附件：</w:t>
      </w:r>
    </w:p>
    <w:p w14:paraId="02BEF3B2">
      <w:pPr>
        <w:pStyle w:val="10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收费标准</w:t>
      </w:r>
    </w:p>
    <w:tbl>
      <w:tblPr>
        <w:tblStyle w:val="5"/>
        <w:tblW w:w="815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9"/>
        <w:gridCol w:w="2110"/>
        <w:gridCol w:w="3585"/>
      </w:tblGrid>
      <w:tr w14:paraId="3EE58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154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297A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 w:bidi="ar"/>
              </w:rPr>
              <w:t>患者收费最高限价表</w:t>
            </w:r>
          </w:p>
        </w:tc>
      </w:tr>
      <w:tr w14:paraId="1B7D0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86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 w:bidi="ar"/>
              </w:rPr>
              <w:t>项目名称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88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 w:bidi="ar"/>
              </w:rPr>
              <w:t>陪护模式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00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 w:bidi="ar"/>
              </w:rPr>
              <w:t>报价</w:t>
            </w:r>
          </w:p>
        </w:tc>
      </w:tr>
      <w:tr w14:paraId="12168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10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专业月嫂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F4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 w:bidi="ar"/>
              </w:rPr>
              <w:t>一对一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384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500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 w:bidi="ar"/>
              </w:rPr>
              <w:t>（元/天.床）</w:t>
            </w:r>
          </w:p>
        </w:tc>
      </w:tr>
      <w:tr w14:paraId="53822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AB1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 w:bidi="ar"/>
              </w:rPr>
              <w:t>通乳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A8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 w:bidi="ar"/>
              </w:rPr>
              <w:t>一天2-3次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CB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 w:bidi="ar"/>
              </w:rPr>
              <w:t>300（元/天.床）</w:t>
            </w:r>
          </w:p>
        </w:tc>
      </w:tr>
      <w:tr w14:paraId="34B0F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80E5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顺产单胎（套餐价）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26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 w:bidi="ar"/>
              </w:rPr>
              <w:t>一对多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47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1000（不超过4天）</w:t>
            </w:r>
          </w:p>
        </w:tc>
      </w:tr>
      <w:tr w14:paraId="281FC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8F15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剖宫产单胎（套餐价）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03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 w:bidi="ar"/>
              </w:rPr>
              <w:t>一对多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0B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1300（不超过5天）</w:t>
            </w:r>
          </w:p>
        </w:tc>
      </w:tr>
    </w:tbl>
    <w:p w14:paraId="53F01EDA">
      <w:pPr>
        <w:pStyle w:val="10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工作内容</w:t>
      </w:r>
    </w:p>
    <w:p w14:paraId="723888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</w:p>
    <w:tbl>
      <w:tblPr>
        <w:tblStyle w:val="6"/>
        <w:tblW w:w="92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657"/>
        <w:gridCol w:w="5887"/>
      </w:tblGrid>
      <w:tr w14:paraId="0C907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740" w:type="dxa"/>
            <w:vAlign w:val="center"/>
          </w:tcPr>
          <w:p w14:paraId="7DD7A6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服务对象</w:t>
            </w:r>
          </w:p>
        </w:tc>
        <w:tc>
          <w:tcPr>
            <w:tcW w:w="1657" w:type="dxa"/>
            <w:vAlign w:val="center"/>
          </w:tcPr>
          <w:p w14:paraId="552AC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工作模块</w:t>
            </w:r>
          </w:p>
        </w:tc>
        <w:tc>
          <w:tcPr>
            <w:tcW w:w="5887" w:type="dxa"/>
            <w:vAlign w:val="center"/>
          </w:tcPr>
          <w:p w14:paraId="64397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详细内容</w:t>
            </w:r>
          </w:p>
        </w:tc>
      </w:tr>
      <w:tr w14:paraId="16AE3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740" w:type="dxa"/>
            <w:vMerge w:val="restart"/>
            <w:vAlign w:val="center"/>
          </w:tcPr>
          <w:p w14:paraId="1C9B0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产妇照护</w:t>
            </w:r>
          </w:p>
        </w:tc>
        <w:tc>
          <w:tcPr>
            <w:tcW w:w="1657" w:type="dxa"/>
            <w:vAlign w:val="center"/>
          </w:tcPr>
          <w:p w14:paraId="02274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生活护理</w:t>
            </w:r>
          </w:p>
        </w:tc>
        <w:tc>
          <w:tcPr>
            <w:tcW w:w="5887" w:type="dxa"/>
            <w:vAlign w:val="center"/>
          </w:tcPr>
          <w:p w14:paraId="381B9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晨晚间护理、口腔清洁、会阴冲洗、协助擦浴/洗头、更换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衣服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及床单；每日房间通风、物表消毒，协助分餐与餐后清洁。</w:t>
            </w:r>
          </w:p>
        </w:tc>
      </w:tr>
      <w:tr w14:paraId="499F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740" w:type="dxa"/>
            <w:vMerge w:val="continue"/>
            <w:vAlign w:val="center"/>
          </w:tcPr>
          <w:p w14:paraId="33A2E0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14:paraId="0A878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产后康复辅助</w:t>
            </w:r>
          </w:p>
        </w:tc>
        <w:tc>
          <w:tcPr>
            <w:tcW w:w="5887" w:type="dxa"/>
            <w:vAlign w:val="center"/>
          </w:tcPr>
          <w:p w14:paraId="0C1CD8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协助早期下床活动；在护士指导下，辅助正确哺乳姿势，手把手教会吸奶器使用、乳房基础护理（不含专业通乳）；协助记录生命体征及恶露量。</w:t>
            </w:r>
          </w:p>
        </w:tc>
      </w:tr>
      <w:tr w14:paraId="194FC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740" w:type="dxa"/>
            <w:vMerge w:val="continue"/>
            <w:vAlign w:val="center"/>
          </w:tcPr>
          <w:p w14:paraId="7E8FF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14:paraId="745E97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心理与异常观察</w:t>
            </w:r>
          </w:p>
        </w:tc>
        <w:tc>
          <w:tcPr>
            <w:tcW w:w="5887" w:type="dxa"/>
            <w:vAlign w:val="center"/>
          </w:tcPr>
          <w:p w14:paraId="6BF7B7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观察情绪变化，倾听倾诉，预防产后抑郁倾向；发现发热、出血、异常疼痛、情绪极端等情况，立即报告护士/医生，不私自处理。</w:t>
            </w:r>
          </w:p>
        </w:tc>
      </w:tr>
      <w:tr w14:paraId="361A9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740" w:type="dxa"/>
            <w:vMerge w:val="restart"/>
            <w:vAlign w:val="center"/>
          </w:tcPr>
          <w:p w14:paraId="24703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新生儿照护</w:t>
            </w:r>
          </w:p>
        </w:tc>
        <w:tc>
          <w:tcPr>
            <w:tcW w:w="1657" w:type="dxa"/>
            <w:vAlign w:val="center"/>
          </w:tcPr>
          <w:p w14:paraId="13B48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生活护理</w:t>
            </w:r>
          </w:p>
        </w:tc>
        <w:tc>
          <w:tcPr>
            <w:tcW w:w="5887" w:type="dxa"/>
            <w:vAlign w:val="center"/>
          </w:tcPr>
          <w:p w14:paraId="0FFB4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按需喂养（含配方奶配制）、拍嗝、更换尿布；每日沐浴、脐部护理、臀部护理、抚触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。</w:t>
            </w:r>
          </w:p>
        </w:tc>
      </w:tr>
      <w:tr w14:paraId="4A94B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740" w:type="dxa"/>
            <w:vMerge w:val="continue"/>
            <w:vAlign w:val="center"/>
          </w:tcPr>
          <w:p w14:paraId="35263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14:paraId="176FA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健康监测与辅助</w:t>
            </w:r>
          </w:p>
        </w:tc>
        <w:tc>
          <w:tcPr>
            <w:tcW w:w="5887" w:type="dxa"/>
            <w:vAlign w:val="center"/>
          </w:tcPr>
          <w:p w14:paraId="30BC8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每日测量体温、体重，辅助观察并记录黄疸、喂养量、大小便性状；发现体温异常、黄疸加深、拒奶、嗜睡、呼吸异常等，立即上报医疗团队。</w:t>
            </w:r>
          </w:p>
        </w:tc>
      </w:tr>
      <w:tr w14:paraId="4DC16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740" w:type="dxa"/>
            <w:vMerge w:val="continue"/>
            <w:vAlign w:val="center"/>
          </w:tcPr>
          <w:p w14:paraId="45513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14:paraId="57F11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早期发展</w:t>
            </w:r>
          </w:p>
        </w:tc>
        <w:tc>
          <w:tcPr>
            <w:tcW w:w="5887" w:type="dxa"/>
            <w:vAlign w:val="center"/>
          </w:tcPr>
          <w:p w14:paraId="56A9D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协助进行俯卧练习、被动操、追视追听训练；提供安全环境，预防意外（如呛奶、捂热、坠床）。</w:t>
            </w:r>
          </w:p>
        </w:tc>
      </w:tr>
      <w:tr w14:paraId="22F0A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740" w:type="dxa"/>
            <w:vMerge w:val="restart"/>
            <w:vAlign w:val="center"/>
          </w:tcPr>
          <w:p w14:paraId="0FE3B7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医疗协同</w:t>
            </w:r>
          </w:p>
        </w:tc>
        <w:tc>
          <w:tcPr>
            <w:tcW w:w="1657" w:type="dxa"/>
            <w:vAlign w:val="center"/>
          </w:tcPr>
          <w:p w14:paraId="200D4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配合医护</w:t>
            </w:r>
          </w:p>
        </w:tc>
        <w:tc>
          <w:tcPr>
            <w:tcW w:w="5887" w:type="dxa"/>
            <w:vAlign w:val="center"/>
          </w:tcPr>
          <w:p w14:paraId="38C2C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按护士要求，协助护送产妇及新生儿接受检查、治疗、疫苗、听力筛查等；配合完成新生儿蓝光治疗期间的基础照护。</w:t>
            </w:r>
          </w:p>
        </w:tc>
      </w:tr>
      <w:tr w14:paraId="373CB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740" w:type="dxa"/>
            <w:vMerge w:val="continue"/>
            <w:vAlign w:val="center"/>
          </w:tcPr>
          <w:p w14:paraId="05C77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14:paraId="4F6AE9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感控与记录</w:t>
            </w:r>
          </w:p>
        </w:tc>
        <w:tc>
          <w:tcPr>
            <w:tcW w:w="5887" w:type="dxa"/>
            <w:vAlign w:val="center"/>
          </w:tcPr>
          <w:p w14:paraId="538F3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严格执行卫生及物品消毒隔离制度；按规定填写《月嫂工作日志》，交接时签字确认。</w:t>
            </w:r>
          </w:p>
        </w:tc>
      </w:tr>
      <w:tr w14:paraId="39C6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740" w:type="dxa"/>
            <w:vAlign w:val="center"/>
          </w:tcPr>
          <w:p w14:paraId="30664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</w:t>
            </w:r>
          </w:p>
        </w:tc>
        <w:tc>
          <w:tcPr>
            <w:tcW w:w="1657" w:type="dxa"/>
            <w:vAlign w:val="center"/>
          </w:tcPr>
          <w:p w14:paraId="5F09F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物资与环境</w:t>
            </w:r>
          </w:p>
        </w:tc>
        <w:tc>
          <w:tcPr>
            <w:tcW w:w="5887" w:type="dxa"/>
            <w:vAlign w:val="center"/>
          </w:tcPr>
          <w:p w14:paraId="1B9EE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负责被服送洗、补充日用品、奶具消毒、记录出入量；发现设备设施故障，及时上报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。</w:t>
            </w:r>
          </w:p>
        </w:tc>
      </w:tr>
      <w:tr w14:paraId="4A448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740" w:type="dxa"/>
            <w:vMerge w:val="restart"/>
            <w:vAlign w:val="center"/>
          </w:tcPr>
          <w:p w14:paraId="22269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禁止行为</w:t>
            </w:r>
          </w:p>
        </w:tc>
        <w:tc>
          <w:tcPr>
            <w:tcW w:w="1657" w:type="dxa"/>
            <w:vMerge w:val="restart"/>
            <w:vAlign w:val="center"/>
          </w:tcPr>
          <w:p w14:paraId="3CE78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风险防控</w:t>
            </w:r>
          </w:p>
        </w:tc>
        <w:tc>
          <w:tcPr>
            <w:tcW w:w="5887" w:type="dxa"/>
            <w:vAlign w:val="center"/>
          </w:tcPr>
          <w:p w14:paraId="19E6E7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自行判断并处理产妇发热、出血、新生儿黄疸、吐奶发绀等情况（必须上报医护）。</w:t>
            </w:r>
          </w:p>
        </w:tc>
      </w:tr>
      <w:tr w14:paraId="05F97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740" w:type="dxa"/>
            <w:vMerge w:val="continue"/>
            <w:vAlign w:val="center"/>
          </w:tcPr>
          <w:p w14:paraId="42AE6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vAlign w:val="center"/>
          </w:tcPr>
          <w:p w14:paraId="382DD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87" w:type="dxa"/>
            <w:vAlign w:val="center"/>
          </w:tcPr>
          <w:p w14:paraId="5293A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使用任何未经医生批准的药物、偏方或催乳手法。</w:t>
            </w:r>
          </w:p>
        </w:tc>
      </w:tr>
      <w:tr w14:paraId="2278B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740" w:type="dxa"/>
            <w:vMerge w:val="continue"/>
            <w:vAlign w:val="center"/>
          </w:tcPr>
          <w:p w14:paraId="4E35E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vAlign w:val="center"/>
          </w:tcPr>
          <w:p w14:paraId="046937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87" w:type="dxa"/>
            <w:vAlign w:val="center"/>
          </w:tcPr>
          <w:p w14:paraId="53955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向家属承诺医疗效果或代替医生解释病情。</w:t>
            </w:r>
          </w:p>
        </w:tc>
      </w:tr>
      <w:tr w14:paraId="41F55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740" w:type="dxa"/>
            <w:vMerge w:val="continue"/>
            <w:vAlign w:val="center"/>
          </w:tcPr>
          <w:p w14:paraId="0C60E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7" w:type="dxa"/>
            <w:vMerge w:val="continue"/>
            <w:vAlign w:val="center"/>
          </w:tcPr>
          <w:p w14:paraId="7BD55F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7" w:type="dxa"/>
            <w:vAlign w:val="center"/>
          </w:tcPr>
          <w:p w14:paraId="43AF9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在无护士在场时，擅自调整医疗设备（如暖箱、蓝光箱参数）。</w:t>
            </w:r>
          </w:p>
        </w:tc>
      </w:tr>
      <w:tr w14:paraId="638C6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740" w:type="dxa"/>
            <w:vMerge w:val="continue"/>
            <w:vAlign w:val="center"/>
          </w:tcPr>
          <w:p w14:paraId="24101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7" w:type="dxa"/>
            <w:vMerge w:val="continue"/>
            <w:vAlign w:val="center"/>
          </w:tcPr>
          <w:p w14:paraId="3E29BE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7" w:type="dxa"/>
            <w:vAlign w:val="center"/>
          </w:tcPr>
          <w:p w14:paraId="4B442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以任何名义、形式向产妇及家属推销、介绍、导流院外第三方机构通乳、产后修复、盆底康复、月子熏蒸、母婴保健品、奶粉、辅食、母婴用品、产后仪器等各类收费产品与服务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私下留存、分发外部商家名片、微信、宣传海报、体验券、团购链接等营销物料；引导家属添加外部商家微信、私下对接外部产康人员上门服务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收受外部商家介绍提成、返点、礼品、佣金等任何形式营销返利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64D12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740" w:type="dxa"/>
            <w:vMerge w:val="continue"/>
            <w:vAlign w:val="center"/>
          </w:tcPr>
          <w:p w14:paraId="728768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7" w:type="dxa"/>
            <w:vMerge w:val="continue"/>
            <w:vAlign w:val="center"/>
          </w:tcPr>
          <w:p w14:paraId="30395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7" w:type="dxa"/>
            <w:vAlign w:val="center"/>
          </w:tcPr>
          <w:p w14:paraId="0E5BB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使用手机拍摄、录制产妇、新生儿、病区环境、病历、治疗画面；发朋友圈、短视频、社群传播任何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母婴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影像</w:t>
            </w:r>
          </w:p>
        </w:tc>
      </w:tr>
    </w:tbl>
    <w:p w14:paraId="748191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25F3E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三、人员资质与考核要点</w:t>
      </w:r>
    </w:p>
    <w:p w14:paraId="2EEBE7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、健康准入：月嫂上岗须持1年内有效健康证，每年完成专项体检，体检项目含乙肝五项、丙肝、梅毒、HIV、胸片、幽门螺杆菌；活动性病毒性肝炎、活动性肺结核、化脓/渗出性传染性皮肤病、现症梅毒、艾滋、痢疾伤寒等传染病人员不得从事母婴护理；在岗出现发热、皮疹、腹泻等感染症状立即离岗，康复复检合格方可返岗，全部体检资料由乙方存档备查。</w:t>
      </w:r>
    </w:p>
    <w:p w14:paraId="2AF162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持证：持母婴护理师证、育婴员证、保育员证等级证书。</w:t>
      </w:r>
    </w:p>
    <w:p w14:paraId="60CD98F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leftChars="0"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3、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从业年限与实操经验：独立从事母婴护理工作不少于2年，累计入户照料婴幼儿不少于10人；拥有月子会所、医院产科/产康病房一线服务经历优先。</w:t>
      </w:r>
    </w:p>
    <w:p w14:paraId="095BB5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培训：上岗前须持健康证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并通过医院感控、急救流程及异常识别考核。</w:t>
      </w:r>
    </w:p>
    <w:p w14:paraId="429CD6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考核：定期进行实操考核（含呛奶急救、心肺复苏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1C399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 w14:paraId="542327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月嫂工作处罚条款</w:t>
      </w:r>
    </w:p>
    <w:tbl>
      <w:tblPr>
        <w:tblStyle w:val="5"/>
        <w:tblpPr w:leftFromText="180" w:rightFromText="180" w:vertAnchor="page" w:horzAnchor="page" w:tblpX="705" w:tblpY="2158"/>
        <w:tblW w:w="10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134"/>
        <w:gridCol w:w="6946"/>
        <w:gridCol w:w="964"/>
        <w:gridCol w:w="1274"/>
      </w:tblGrid>
      <w:tr w14:paraId="4E5DF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62" w:type="dxa"/>
            <w:vAlign w:val="center"/>
          </w:tcPr>
          <w:p w14:paraId="4204BF06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Arial"/>
                <w:b/>
                <w:bCs/>
                <w:sz w:val="22"/>
                <w:szCs w:val="22"/>
              </w:rPr>
              <w:t>项目</w:t>
            </w:r>
          </w:p>
        </w:tc>
        <w:tc>
          <w:tcPr>
            <w:tcW w:w="1134" w:type="dxa"/>
          </w:tcPr>
          <w:p w14:paraId="4B212378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Arial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6946" w:type="dxa"/>
            <w:vAlign w:val="center"/>
          </w:tcPr>
          <w:p w14:paraId="515A87B6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Arial"/>
                <w:b/>
                <w:bCs/>
                <w:sz w:val="22"/>
                <w:szCs w:val="22"/>
              </w:rPr>
              <w:t>工作要求</w:t>
            </w:r>
          </w:p>
        </w:tc>
        <w:tc>
          <w:tcPr>
            <w:tcW w:w="964" w:type="dxa"/>
            <w:vAlign w:val="center"/>
          </w:tcPr>
          <w:p w14:paraId="19153825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Arial"/>
                <w:b/>
                <w:bCs/>
                <w:sz w:val="22"/>
                <w:szCs w:val="22"/>
              </w:rPr>
              <w:t>处罚措施</w:t>
            </w:r>
          </w:p>
        </w:tc>
        <w:tc>
          <w:tcPr>
            <w:tcW w:w="1274" w:type="dxa"/>
            <w:vAlign w:val="center"/>
          </w:tcPr>
          <w:p w14:paraId="5E17B3EA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Arial"/>
                <w:b/>
                <w:bCs/>
                <w:sz w:val="22"/>
                <w:szCs w:val="22"/>
              </w:rPr>
              <w:t>处罚金额</w:t>
            </w:r>
          </w:p>
        </w:tc>
      </w:tr>
      <w:tr w14:paraId="47315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62" w:type="dxa"/>
            <w:vMerge w:val="restart"/>
            <w:vAlign w:val="center"/>
          </w:tcPr>
          <w:p w14:paraId="058C9E13">
            <w:pPr>
              <w:widowControl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Arial"/>
                <w:b/>
                <w:bCs/>
                <w:sz w:val="22"/>
                <w:szCs w:val="22"/>
              </w:rPr>
              <w:t>人员要求</w:t>
            </w:r>
          </w:p>
        </w:tc>
        <w:tc>
          <w:tcPr>
            <w:tcW w:w="1134" w:type="dxa"/>
            <w:vAlign w:val="center"/>
          </w:tcPr>
          <w:p w14:paraId="7E9904A8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1</w:t>
            </w:r>
          </w:p>
        </w:tc>
        <w:tc>
          <w:tcPr>
            <w:tcW w:w="6946" w:type="dxa"/>
            <w:vAlign w:val="center"/>
          </w:tcPr>
          <w:p w14:paraId="4F54A55B">
            <w:pPr>
              <w:widowControl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新进月嫂需持</w:t>
            </w:r>
            <w:r>
              <w:rPr>
                <w:rFonts w:hint="eastAsia" w:ascii="宋体" w:hAnsi="宋体" w:eastAsia="宋体"/>
                <w:color w:val="000000" w:themeColor="text1"/>
                <w:sz w:val="22"/>
                <w:szCs w:val="22"/>
                <w:lang w:val="zh-TW"/>
                <w14:textFill>
                  <w14:solidFill>
                    <w14:schemeClr w14:val="tx1"/>
                  </w14:solidFill>
                </w14:textFill>
              </w:rPr>
              <w:t>母婴生活护理师证或月嫂上岗证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，方可上岗，</w:t>
            </w: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如不达标则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需立即更换</w:t>
            </w:r>
          </w:p>
        </w:tc>
        <w:tc>
          <w:tcPr>
            <w:tcW w:w="964" w:type="dxa"/>
            <w:vAlign w:val="center"/>
          </w:tcPr>
          <w:p w14:paraId="7D586581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433AF0B6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100元</w:t>
            </w:r>
          </w:p>
        </w:tc>
      </w:tr>
      <w:tr w14:paraId="3BDCE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62" w:type="dxa"/>
            <w:vMerge w:val="continue"/>
            <w:vAlign w:val="center"/>
          </w:tcPr>
          <w:p w14:paraId="49F7BA20">
            <w:pPr>
              <w:widowControl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FAC2BED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2</w:t>
            </w:r>
          </w:p>
        </w:tc>
        <w:tc>
          <w:tcPr>
            <w:tcW w:w="6946" w:type="dxa"/>
            <w:vAlign w:val="center"/>
          </w:tcPr>
          <w:p w14:paraId="4B1DF5D1">
            <w:pPr>
              <w:widowControl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月嫂上岗后，产妇或家属不满意，申请更换后，需在48小时内进行更换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月嫂突发身体不适、阳性传染病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小时内替补人员到岗</w:t>
            </w:r>
          </w:p>
        </w:tc>
        <w:tc>
          <w:tcPr>
            <w:tcW w:w="964" w:type="dxa"/>
            <w:vAlign w:val="center"/>
          </w:tcPr>
          <w:p w14:paraId="576C4125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6F0C09B2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200元/天</w:t>
            </w:r>
          </w:p>
        </w:tc>
      </w:tr>
      <w:tr w14:paraId="53DAE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562" w:type="dxa"/>
            <w:vMerge w:val="restart"/>
            <w:vAlign w:val="center"/>
          </w:tcPr>
          <w:p w14:paraId="24E472A8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Arial"/>
                <w:b/>
                <w:bCs/>
                <w:sz w:val="22"/>
                <w:szCs w:val="22"/>
              </w:rPr>
              <w:t>仪容</w:t>
            </w:r>
          </w:p>
          <w:p w14:paraId="6B0F6AF3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Arial"/>
                <w:b/>
                <w:bCs/>
                <w:sz w:val="22"/>
                <w:szCs w:val="22"/>
              </w:rPr>
              <w:t>仪表</w:t>
            </w:r>
          </w:p>
        </w:tc>
        <w:tc>
          <w:tcPr>
            <w:tcW w:w="1134" w:type="dxa"/>
            <w:vAlign w:val="center"/>
          </w:tcPr>
          <w:p w14:paraId="4986D6E6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6946" w:type="dxa"/>
            <w:vAlign w:val="center"/>
          </w:tcPr>
          <w:p w14:paraId="54EF21AD">
            <w:pPr>
              <w:widowControl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统一着装</w:t>
            </w: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，佩带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证件</w:t>
            </w: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，保持衣冠整洁,不得卷袖或卷裤脚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，不得穿拖鞋，提醒无效</w:t>
            </w:r>
          </w:p>
        </w:tc>
        <w:tc>
          <w:tcPr>
            <w:tcW w:w="964" w:type="dxa"/>
            <w:vAlign w:val="center"/>
          </w:tcPr>
          <w:p w14:paraId="74EBC7CE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145D2180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100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元</w:t>
            </w:r>
          </w:p>
        </w:tc>
      </w:tr>
      <w:tr w14:paraId="72A78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62" w:type="dxa"/>
            <w:vMerge w:val="continue"/>
            <w:vAlign w:val="center"/>
          </w:tcPr>
          <w:p w14:paraId="0F21A910">
            <w:pPr>
              <w:widowControl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95F9093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6946" w:type="dxa"/>
            <w:vAlign w:val="center"/>
          </w:tcPr>
          <w:p w14:paraId="023A0F01">
            <w:pPr>
              <w:widowControl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头发梳剪整齐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不得怪异发色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提醒无效</w:t>
            </w:r>
          </w:p>
        </w:tc>
        <w:tc>
          <w:tcPr>
            <w:tcW w:w="964" w:type="dxa"/>
            <w:vAlign w:val="center"/>
          </w:tcPr>
          <w:p w14:paraId="085E444D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236EF486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100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元</w:t>
            </w:r>
          </w:p>
        </w:tc>
      </w:tr>
      <w:tr w14:paraId="1F6C3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2" w:type="dxa"/>
            <w:vMerge w:val="continue"/>
            <w:vAlign w:val="center"/>
          </w:tcPr>
          <w:p w14:paraId="20B81902">
            <w:pPr>
              <w:widowControl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1A42E61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6946" w:type="dxa"/>
            <w:vAlign w:val="center"/>
          </w:tcPr>
          <w:p w14:paraId="2294121C">
            <w:pPr>
              <w:widowControl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不留长指甲，禁止佩戴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任何</w:t>
            </w: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的首饰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提醒无效</w:t>
            </w:r>
          </w:p>
        </w:tc>
        <w:tc>
          <w:tcPr>
            <w:tcW w:w="964" w:type="dxa"/>
            <w:vAlign w:val="center"/>
          </w:tcPr>
          <w:p w14:paraId="258791F7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5CF789BE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100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元</w:t>
            </w:r>
          </w:p>
        </w:tc>
      </w:tr>
      <w:tr w14:paraId="4F552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62" w:type="dxa"/>
            <w:vMerge w:val="continue"/>
            <w:vAlign w:val="center"/>
          </w:tcPr>
          <w:p w14:paraId="156596B6">
            <w:pPr>
              <w:widowControl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5538E38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6946" w:type="dxa"/>
            <w:vAlign w:val="center"/>
          </w:tcPr>
          <w:p w14:paraId="2183ECD6">
            <w:pPr>
              <w:widowControl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不得摇腿或翘脚；不得前俯后仰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，</w:t>
            </w:r>
            <w:r>
              <w:rPr>
                <w:rFonts w:ascii="宋体" w:hAnsi="宋体" w:eastAsia="宋体" w:cs="Arial"/>
                <w:sz w:val="22"/>
                <w:szCs w:val="22"/>
              </w:rPr>
              <w:t>提醒无效</w:t>
            </w:r>
          </w:p>
        </w:tc>
        <w:tc>
          <w:tcPr>
            <w:tcW w:w="964" w:type="dxa"/>
            <w:vAlign w:val="center"/>
          </w:tcPr>
          <w:p w14:paraId="5D219632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6C8BEECD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100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元</w:t>
            </w:r>
          </w:p>
        </w:tc>
      </w:tr>
      <w:tr w14:paraId="2F181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62" w:type="dxa"/>
            <w:vMerge w:val="restart"/>
            <w:vAlign w:val="center"/>
          </w:tcPr>
          <w:p w14:paraId="11683A8C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Arial"/>
                <w:b/>
                <w:bCs/>
                <w:sz w:val="22"/>
                <w:szCs w:val="22"/>
              </w:rPr>
              <w:t>行为</w:t>
            </w:r>
          </w:p>
          <w:p w14:paraId="669AC49B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Arial"/>
                <w:b/>
                <w:bCs/>
                <w:sz w:val="22"/>
                <w:szCs w:val="22"/>
              </w:rPr>
              <w:t>规范</w:t>
            </w:r>
          </w:p>
        </w:tc>
        <w:tc>
          <w:tcPr>
            <w:tcW w:w="1134" w:type="dxa"/>
            <w:vAlign w:val="center"/>
          </w:tcPr>
          <w:p w14:paraId="5A754D8B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6946" w:type="dxa"/>
            <w:vAlign w:val="center"/>
          </w:tcPr>
          <w:p w14:paraId="612CA22A">
            <w:pPr>
              <w:widowControl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要爱护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医院</w:t>
            </w:r>
            <w:r>
              <w:rPr>
                <w:rFonts w:ascii="宋体" w:hAnsi="宋体" w:eastAsia="宋体" w:cs="Arial"/>
                <w:sz w:val="22"/>
                <w:szCs w:val="22"/>
              </w:rPr>
              <w:t>设施，不损坏医院财物</w:t>
            </w:r>
          </w:p>
        </w:tc>
        <w:tc>
          <w:tcPr>
            <w:tcW w:w="964" w:type="dxa"/>
            <w:vAlign w:val="center"/>
          </w:tcPr>
          <w:p w14:paraId="085608D7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679DE2F0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100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元</w:t>
            </w:r>
          </w:p>
        </w:tc>
      </w:tr>
      <w:tr w14:paraId="513AF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62" w:type="dxa"/>
            <w:vMerge w:val="continue"/>
            <w:vAlign w:val="center"/>
          </w:tcPr>
          <w:p w14:paraId="49827973">
            <w:pPr>
              <w:widowControl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D79FF14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6946" w:type="dxa"/>
            <w:vAlign w:val="center"/>
          </w:tcPr>
          <w:p w14:paraId="3C3B74FD">
            <w:pPr>
              <w:widowControl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无故未经家属及护士同意批准擅自离岗</w:t>
            </w:r>
          </w:p>
        </w:tc>
        <w:tc>
          <w:tcPr>
            <w:tcW w:w="964" w:type="dxa"/>
            <w:vAlign w:val="center"/>
          </w:tcPr>
          <w:p w14:paraId="5003D5C4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3E2CA176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500元</w:t>
            </w:r>
          </w:p>
        </w:tc>
      </w:tr>
      <w:tr w14:paraId="06B21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62" w:type="dxa"/>
            <w:vMerge w:val="continue"/>
            <w:vAlign w:val="center"/>
          </w:tcPr>
          <w:p w14:paraId="5F0391AF">
            <w:pPr>
              <w:widowControl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6F8D9E4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9</w:t>
            </w:r>
          </w:p>
        </w:tc>
        <w:tc>
          <w:tcPr>
            <w:tcW w:w="6946" w:type="dxa"/>
            <w:vAlign w:val="center"/>
          </w:tcPr>
          <w:p w14:paraId="33CBC836">
            <w:pPr>
              <w:widowControl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服从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院方</w:t>
            </w:r>
            <w:r>
              <w:rPr>
                <w:rFonts w:ascii="宋体" w:hAnsi="宋体" w:eastAsia="宋体" w:cs="Arial"/>
                <w:sz w:val="22"/>
                <w:szCs w:val="22"/>
              </w:rPr>
              <w:t>安排，积极配合医院工作</w:t>
            </w:r>
          </w:p>
        </w:tc>
        <w:tc>
          <w:tcPr>
            <w:tcW w:w="964" w:type="dxa"/>
            <w:vAlign w:val="center"/>
          </w:tcPr>
          <w:p w14:paraId="2BCC84ED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6014529C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500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元</w:t>
            </w:r>
          </w:p>
        </w:tc>
      </w:tr>
      <w:tr w14:paraId="71960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562" w:type="dxa"/>
            <w:vMerge w:val="restart"/>
            <w:vAlign w:val="center"/>
          </w:tcPr>
          <w:p w14:paraId="78D0CB53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Arial"/>
                <w:b/>
                <w:bCs/>
                <w:sz w:val="22"/>
                <w:szCs w:val="22"/>
              </w:rPr>
              <w:t>岗位</w:t>
            </w:r>
          </w:p>
          <w:p w14:paraId="7D15271C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Arial"/>
                <w:b/>
                <w:bCs/>
                <w:sz w:val="22"/>
                <w:szCs w:val="22"/>
              </w:rPr>
              <w:t>纪律</w:t>
            </w:r>
          </w:p>
        </w:tc>
        <w:tc>
          <w:tcPr>
            <w:tcW w:w="1134" w:type="dxa"/>
            <w:vAlign w:val="center"/>
          </w:tcPr>
          <w:p w14:paraId="2F8A5608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946" w:type="dxa"/>
            <w:vAlign w:val="center"/>
          </w:tcPr>
          <w:p w14:paraId="69134A4B">
            <w:pPr>
              <w:widowControl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岗位卫生要求干净，物品整齐，按规定将物品分类</w:t>
            </w:r>
          </w:p>
        </w:tc>
        <w:tc>
          <w:tcPr>
            <w:tcW w:w="964" w:type="dxa"/>
            <w:vAlign w:val="center"/>
          </w:tcPr>
          <w:p w14:paraId="241613D6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7E03C47E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200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元</w:t>
            </w:r>
          </w:p>
        </w:tc>
      </w:tr>
      <w:tr w14:paraId="7DA6C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62" w:type="dxa"/>
            <w:vMerge w:val="continue"/>
            <w:vAlign w:val="center"/>
          </w:tcPr>
          <w:p w14:paraId="23C22192">
            <w:pPr>
              <w:widowControl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98E9A34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6946" w:type="dxa"/>
            <w:vAlign w:val="center"/>
          </w:tcPr>
          <w:p w14:paraId="1EBEB7A0">
            <w:pPr>
              <w:widowControl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上班时间禁止电话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聊非工作内容</w:t>
            </w:r>
            <w:r>
              <w:rPr>
                <w:rFonts w:ascii="宋体" w:hAnsi="宋体" w:eastAsia="宋体" w:cs="Arial"/>
                <w:sz w:val="22"/>
                <w:szCs w:val="22"/>
              </w:rPr>
              <w:t>，打电话或接听电话不得超过</w:t>
            </w: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5</w:t>
            </w:r>
            <w:r>
              <w:rPr>
                <w:rFonts w:ascii="宋体" w:hAnsi="宋体" w:eastAsia="宋体" w:cs="Arial"/>
                <w:sz w:val="22"/>
                <w:szCs w:val="22"/>
              </w:rPr>
              <w:t>分钟</w:t>
            </w:r>
          </w:p>
        </w:tc>
        <w:tc>
          <w:tcPr>
            <w:tcW w:w="964" w:type="dxa"/>
            <w:vAlign w:val="center"/>
          </w:tcPr>
          <w:p w14:paraId="15973CD6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66058AB2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200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元</w:t>
            </w:r>
          </w:p>
        </w:tc>
      </w:tr>
      <w:tr w14:paraId="4D944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62" w:type="dxa"/>
            <w:vMerge w:val="continue"/>
            <w:vAlign w:val="center"/>
          </w:tcPr>
          <w:p w14:paraId="0343ED5C">
            <w:pPr>
              <w:widowControl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FF59034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6946" w:type="dxa"/>
            <w:vAlign w:val="center"/>
          </w:tcPr>
          <w:p w14:paraId="6AA9F40E">
            <w:pPr>
              <w:widowControl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禁止在岗位闲聊、禁止岗位留非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月嫂</w:t>
            </w:r>
            <w:r>
              <w:rPr>
                <w:rFonts w:ascii="宋体" w:hAnsi="宋体" w:eastAsia="宋体" w:cs="Arial"/>
                <w:sz w:val="22"/>
                <w:szCs w:val="22"/>
              </w:rPr>
              <w:t>人员在岗</w:t>
            </w:r>
          </w:p>
        </w:tc>
        <w:tc>
          <w:tcPr>
            <w:tcW w:w="964" w:type="dxa"/>
            <w:vAlign w:val="center"/>
          </w:tcPr>
          <w:p w14:paraId="1504B3C6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707181FA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200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元</w:t>
            </w:r>
          </w:p>
        </w:tc>
      </w:tr>
      <w:tr w14:paraId="652CC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62" w:type="dxa"/>
            <w:vMerge w:val="continue"/>
            <w:vAlign w:val="center"/>
          </w:tcPr>
          <w:p w14:paraId="4C48F472">
            <w:pPr>
              <w:widowControl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5D685FE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6946" w:type="dxa"/>
            <w:vAlign w:val="center"/>
          </w:tcPr>
          <w:p w14:paraId="31DF2D2D">
            <w:pPr>
              <w:widowControl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上岗期间不得做私人事情或看书报杂志、听音乐、打手机及上网</w:t>
            </w:r>
          </w:p>
        </w:tc>
        <w:tc>
          <w:tcPr>
            <w:tcW w:w="964" w:type="dxa"/>
            <w:vAlign w:val="center"/>
          </w:tcPr>
          <w:p w14:paraId="59D4F143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59386FFB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300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元</w:t>
            </w:r>
          </w:p>
        </w:tc>
      </w:tr>
      <w:tr w14:paraId="42992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62" w:type="dxa"/>
            <w:vMerge w:val="continue"/>
            <w:vAlign w:val="center"/>
          </w:tcPr>
          <w:p w14:paraId="019FC1BF">
            <w:pPr>
              <w:widowControl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D85E41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6946" w:type="dxa"/>
            <w:vAlign w:val="center"/>
          </w:tcPr>
          <w:p w14:paraId="4FA4C159">
            <w:pPr>
              <w:widowControl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上下班需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准时，服务态度端正，不得大声喧哗</w:t>
            </w:r>
          </w:p>
        </w:tc>
        <w:tc>
          <w:tcPr>
            <w:tcW w:w="964" w:type="dxa"/>
            <w:vAlign w:val="center"/>
          </w:tcPr>
          <w:p w14:paraId="7E9A618C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罚款</w:t>
            </w:r>
          </w:p>
        </w:tc>
        <w:tc>
          <w:tcPr>
            <w:tcW w:w="1274" w:type="dxa"/>
            <w:vAlign w:val="center"/>
          </w:tcPr>
          <w:p w14:paraId="039D3F7C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200元</w:t>
            </w:r>
          </w:p>
        </w:tc>
      </w:tr>
      <w:tr w14:paraId="3F5EF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62" w:type="dxa"/>
            <w:vMerge w:val="continue"/>
            <w:vAlign w:val="center"/>
          </w:tcPr>
          <w:p w14:paraId="07DA145B">
            <w:pPr>
              <w:widowControl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44BABC4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6946" w:type="dxa"/>
            <w:vAlign w:val="center"/>
          </w:tcPr>
          <w:p w14:paraId="76096DB2">
            <w:pPr>
              <w:widowControl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以工作之便,假公济私,损害公司或他人利益</w:t>
            </w:r>
          </w:p>
        </w:tc>
        <w:tc>
          <w:tcPr>
            <w:tcW w:w="964" w:type="dxa"/>
            <w:vAlign w:val="center"/>
          </w:tcPr>
          <w:p w14:paraId="62C22A4A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调离</w:t>
            </w:r>
          </w:p>
        </w:tc>
        <w:tc>
          <w:tcPr>
            <w:tcW w:w="1274" w:type="dxa"/>
            <w:vAlign w:val="center"/>
          </w:tcPr>
          <w:p w14:paraId="4DDD56FD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1000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元</w:t>
            </w:r>
          </w:p>
        </w:tc>
      </w:tr>
      <w:tr w14:paraId="66DF5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62" w:type="dxa"/>
            <w:vMerge w:val="continue"/>
            <w:vAlign w:val="center"/>
          </w:tcPr>
          <w:p w14:paraId="391B2836">
            <w:pPr>
              <w:widowControl/>
              <w:rPr>
                <w:rFonts w:hint="eastAsia" w:ascii="宋体" w:hAnsi="宋体" w:eastAsia="宋体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1E2635A">
            <w:pPr>
              <w:widowControl/>
              <w:spacing w:line="240" w:lineRule="exact"/>
              <w:jc w:val="center"/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Arial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6946" w:type="dxa"/>
            <w:vAlign w:val="center"/>
          </w:tcPr>
          <w:p w14:paraId="450A5554">
            <w:pPr>
              <w:widowControl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不得有恐吓，报复,包庇等类似行为</w:t>
            </w:r>
          </w:p>
        </w:tc>
        <w:tc>
          <w:tcPr>
            <w:tcW w:w="964" w:type="dxa"/>
            <w:vAlign w:val="center"/>
          </w:tcPr>
          <w:p w14:paraId="387844FE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sz w:val="22"/>
                <w:szCs w:val="22"/>
              </w:rPr>
              <w:t>调离</w:t>
            </w:r>
          </w:p>
        </w:tc>
        <w:tc>
          <w:tcPr>
            <w:tcW w:w="1274" w:type="dxa"/>
            <w:vAlign w:val="center"/>
          </w:tcPr>
          <w:p w14:paraId="78FB9711">
            <w:pPr>
              <w:widowControl/>
              <w:jc w:val="center"/>
              <w:rPr>
                <w:rFonts w:hint="eastAsia" w:ascii="宋体" w:hAnsi="宋体" w:eastAsia="宋体" w:cs="Arial"/>
                <w:sz w:val="22"/>
                <w:szCs w:val="22"/>
              </w:rPr>
            </w:pPr>
            <w:r>
              <w:rPr>
                <w:rFonts w:ascii="宋体" w:hAnsi="宋体" w:eastAsia="宋体" w:cs="Arial"/>
                <w:sz w:val="22"/>
                <w:szCs w:val="22"/>
              </w:rPr>
              <w:t>2000</w:t>
            </w:r>
            <w:r>
              <w:rPr>
                <w:rFonts w:hint="eastAsia" w:ascii="宋体" w:hAnsi="宋体" w:eastAsia="宋体" w:cs="Arial"/>
                <w:sz w:val="22"/>
                <w:szCs w:val="22"/>
              </w:rPr>
              <w:t>元</w:t>
            </w:r>
          </w:p>
        </w:tc>
      </w:tr>
      <w:tr w14:paraId="101D9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62" w:type="dxa"/>
            <w:vMerge w:val="continue"/>
            <w:vAlign w:val="center"/>
          </w:tcPr>
          <w:p w14:paraId="21E738EC">
            <w:pPr>
              <w:widowControl/>
              <w:rPr>
                <w:rFonts w:hint="eastAsia" w:ascii="宋体" w:hAnsi="宋体" w:eastAsia="宋体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3E7F871B">
            <w:pPr>
              <w:widowControl/>
              <w:jc w:val="center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6946" w:type="dxa"/>
            <w:vAlign w:val="center"/>
          </w:tcPr>
          <w:p w14:paraId="3D6EFAB0">
            <w:pPr>
              <w:widowControl/>
              <w:spacing w:line="240" w:lineRule="exact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上岗严禁喝酒、赌博、不得吸烟；严禁携带烟酒类、含酒精之饮品、毒品、非医药用药物、违禁品及其它危险物品进入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院区</w:t>
            </w:r>
          </w:p>
        </w:tc>
        <w:tc>
          <w:tcPr>
            <w:tcW w:w="964" w:type="dxa"/>
            <w:vAlign w:val="center"/>
          </w:tcPr>
          <w:p w14:paraId="659410A5">
            <w:pPr>
              <w:widowControl/>
              <w:jc w:val="center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调离</w:t>
            </w:r>
          </w:p>
        </w:tc>
        <w:tc>
          <w:tcPr>
            <w:tcW w:w="1274" w:type="dxa"/>
            <w:vAlign w:val="center"/>
          </w:tcPr>
          <w:p w14:paraId="7C4F7A8E">
            <w:pPr>
              <w:widowControl/>
              <w:jc w:val="center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2000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</w:tr>
      <w:tr w14:paraId="2BA7F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62" w:type="dxa"/>
            <w:vMerge w:val="continue"/>
            <w:vAlign w:val="center"/>
          </w:tcPr>
          <w:p w14:paraId="5AAA4BD1">
            <w:pPr>
              <w:widowControl/>
              <w:rPr>
                <w:rFonts w:hint="eastAsia" w:ascii="宋体" w:hAnsi="宋体" w:eastAsia="宋体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522B6BE3">
            <w:pPr>
              <w:widowControl/>
              <w:jc w:val="center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6946" w:type="dxa"/>
            <w:vAlign w:val="center"/>
          </w:tcPr>
          <w:p w14:paraId="66D6D0EF">
            <w:pPr>
              <w:widowControl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医院</w:t>
            </w: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计算机严禁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</w:t>
            </w: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为娱乐或其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他</w:t>
            </w: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私人用途</w:t>
            </w:r>
          </w:p>
        </w:tc>
        <w:tc>
          <w:tcPr>
            <w:tcW w:w="964" w:type="dxa"/>
            <w:vAlign w:val="center"/>
          </w:tcPr>
          <w:p w14:paraId="5A1A4920">
            <w:pPr>
              <w:widowControl/>
              <w:jc w:val="center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罚款</w:t>
            </w:r>
          </w:p>
        </w:tc>
        <w:tc>
          <w:tcPr>
            <w:tcW w:w="1274" w:type="dxa"/>
            <w:vAlign w:val="center"/>
          </w:tcPr>
          <w:p w14:paraId="3D742478">
            <w:pPr>
              <w:widowControl/>
              <w:jc w:val="center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</w:tr>
      <w:tr w14:paraId="132C5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62" w:type="dxa"/>
            <w:vMerge w:val="continue"/>
            <w:vAlign w:val="center"/>
          </w:tcPr>
          <w:p w14:paraId="652BA80D">
            <w:pPr>
              <w:widowControl/>
              <w:rPr>
                <w:rFonts w:hint="eastAsia" w:ascii="宋体" w:hAnsi="宋体" w:eastAsia="宋体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56DAF7B4">
            <w:pPr>
              <w:widowControl/>
              <w:spacing w:line="240" w:lineRule="exact"/>
              <w:jc w:val="center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6946" w:type="dxa"/>
            <w:vAlign w:val="center"/>
          </w:tcPr>
          <w:p w14:paraId="295D8D55">
            <w:pPr>
              <w:widowControl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禁止肢体冲突，发生冲突应按规定及时汇报</w:t>
            </w:r>
          </w:p>
        </w:tc>
        <w:tc>
          <w:tcPr>
            <w:tcW w:w="964" w:type="dxa"/>
            <w:vAlign w:val="center"/>
          </w:tcPr>
          <w:p w14:paraId="0503C0A9">
            <w:pPr>
              <w:widowControl/>
              <w:jc w:val="center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调离</w:t>
            </w:r>
          </w:p>
        </w:tc>
        <w:tc>
          <w:tcPr>
            <w:tcW w:w="1274" w:type="dxa"/>
            <w:vAlign w:val="center"/>
          </w:tcPr>
          <w:p w14:paraId="7C02D182">
            <w:pPr>
              <w:widowControl/>
              <w:jc w:val="center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2000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</w:tr>
      <w:tr w14:paraId="2ABB3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562" w:type="dxa"/>
            <w:vMerge w:val="continue"/>
            <w:vAlign w:val="center"/>
          </w:tcPr>
          <w:p w14:paraId="27451171">
            <w:pPr>
              <w:widowControl/>
              <w:rPr>
                <w:rFonts w:hint="eastAsia" w:ascii="宋体" w:hAnsi="宋体" w:eastAsia="宋体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1FBAD2C0">
            <w:pPr>
              <w:widowControl/>
              <w:jc w:val="center"/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46" w:type="dxa"/>
            <w:vAlign w:val="center"/>
          </w:tcPr>
          <w:p w14:paraId="7C804619">
            <w:pPr>
              <w:widowControl/>
              <w:spacing w:line="240" w:lineRule="exact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严守职业道德，相关业务机密不得随意示人，不探听、不谈论、不散播业务外之任何机密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信息与</w:t>
            </w: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机密文件，禁止复制、抄录或携出公务计算机，不得越权使用或违法入侵，遵守薪资保密规定</w:t>
            </w:r>
          </w:p>
        </w:tc>
        <w:tc>
          <w:tcPr>
            <w:tcW w:w="964" w:type="dxa"/>
            <w:vAlign w:val="center"/>
          </w:tcPr>
          <w:p w14:paraId="2944F22C">
            <w:pPr>
              <w:widowControl/>
              <w:jc w:val="center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调离</w:t>
            </w:r>
          </w:p>
        </w:tc>
        <w:tc>
          <w:tcPr>
            <w:tcW w:w="1274" w:type="dxa"/>
            <w:vAlign w:val="center"/>
          </w:tcPr>
          <w:p w14:paraId="550B39F4">
            <w:pPr>
              <w:widowControl/>
              <w:jc w:val="center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2000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</w:tr>
      <w:tr w14:paraId="02078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562" w:type="dxa"/>
            <w:vMerge w:val="restart"/>
            <w:vAlign w:val="center"/>
          </w:tcPr>
          <w:p w14:paraId="6BA475F6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1134" w:type="dxa"/>
            <w:vAlign w:val="center"/>
          </w:tcPr>
          <w:p w14:paraId="1F4E4313">
            <w:pPr>
              <w:widowControl/>
              <w:jc w:val="center"/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946" w:type="dxa"/>
            <w:vAlign w:val="center"/>
          </w:tcPr>
          <w:p w14:paraId="186FE82D">
            <w:pPr>
              <w:widowControl/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未如实核算月嫂实际营收状况</w:t>
            </w:r>
            <w:r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逃缴漏缴管理费</w:t>
            </w:r>
          </w:p>
        </w:tc>
        <w:tc>
          <w:tcPr>
            <w:tcW w:w="964" w:type="dxa"/>
            <w:vAlign w:val="center"/>
          </w:tcPr>
          <w:p w14:paraId="182AC9A3">
            <w:pPr>
              <w:widowControl/>
              <w:jc w:val="center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罚款</w:t>
            </w:r>
          </w:p>
        </w:tc>
        <w:tc>
          <w:tcPr>
            <w:tcW w:w="1274" w:type="dxa"/>
            <w:vAlign w:val="center"/>
          </w:tcPr>
          <w:p w14:paraId="3C862A09">
            <w:pPr>
              <w:widowControl/>
              <w:jc w:val="center"/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2000</w:t>
            </w: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</w:tr>
      <w:tr w14:paraId="4FB6F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562" w:type="dxa"/>
            <w:vMerge w:val="continue"/>
            <w:vAlign w:val="center"/>
          </w:tcPr>
          <w:p w14:paraId="74FECF81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6E6B6BD1">
            <w:pPr>
              <w:widowControl/>
              <w:jc w:val="center"/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946" w:type="dxa"/>
            <w:vAlign w:val="center"/>
          </w:tcPr>
          <w:p w14:paraId="2A142DAF">
            <w:pPr>
              <w:widowControl/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月嫂公司对投诉问题未进行整改</w:t>
            </w:r>
            <w:r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异常事件未及时处理</w:t>
            </w:r>
          </w:p>
        </w:tc>
        <w:tc>
          <w:tcPr>
            <w:tcW w:w="964" w:type="dxa"/>
            <w:vAlign w:val="center"/>
          </w:tcPr>
          <w:p w14:paraId="632956AF">
            <w:pPr>
              <w:widowControl/>
              <w:jc w:val="center"/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罚款</w:t>
            </w:r>
          </w:p>
        </w:tc>
        <w:tc>
          <w:tcPr>
            <w:tcW w:w="1274" w:type="dxa"/>
            <w:vAlign w:val="center"/>
          </w:tcPr>
          <w:p w14:paraId="43EF55AF">
            <w:pPr>
              <w:widowControl/>
              <w:jc w:val="center"/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2000元</w:t>
            </w:r>
          </w:p>
        </w:tc>
      </w:tr>
      <w:tr w14:paraId="3E676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562" w:type="dxa"/>
            <w:vMerge w:val="continue"/>
            <w:vAlign w:val="center"/>
          </w:tcPr>
          <w:p w14:paraId="1CA5DB43"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5710FD57">
            <w:pPr>
              <w:widowControl/>
              <w:jc w:val="center"/>
              <w:rPr>
                <w:rFonts w:hint="default" w:ascii="宋体" w:hAnsi="宋体" w:eastAsia="宋体" w:cs="Arial"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6946" w:type="dxa"/>
            <w:vAlign w:val="center"/>
          </w:tcPr>
          <w:p w14:paraId="56ED917F">
            <w:pPr>
              <w:widowControl/>
              <w:rPr>
                <w:rFonts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评判、质疑医护诊疗方案，在家属面前吐槽医院、护士、医生；挑拨家属与医护矛盾，煽动投诉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14F7261">
            <w:pPr>
              <w:widowControl/>
              <w:jc w:val="center"/>
              <w:rPr>
                <w:rFonts w:hint="eastAsia" w:ascii="宋体" w:hAnsi="宋体" w:eastAsia="宋体" w:cs="Arial"/>
                <w:color w:val="000000" w:themeColor="text1"/>
                <w:kern w:val="0"/>
                <w:sz w:val="22"/>
                <w:szCs w:val="22"/>
                <w:lang w:val="en-US" w:eastAsia="zh-TW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Arial"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调离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0FA9AF9B">
            <w:pPr>
              <w:widowControl/>
              <w:jc w:val="center"/>
              <w:rPr>
                <w:rFonts w:hint="eastAsia" w:ascii="宋体" w:hAnsi="宋体" w:eastAsia="宋体" w:cs="Arial"/>
                <w:bCs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2000元</w:t>
            </w:r>
          </w:p>
        </w:tc>
      </w:tr>
    </w:tbl>
    <w:p w14:paraId="25EA08CA">
      <w:pPr>
        <w:rPr>
          <w:rFonts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094917CF">
      <w:pPr>
        <w:rPr>
          <w:rFonts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5B4BC80F">
      <w:pPr>
        <w:rPr>
          <w:rFonts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64637F56">
      <w:pPr>
        <w:rPr>
          <w:rFonts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2B2F024A">
      <w:pPr>
        <w:rPr>
          <w:rFonts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479"/>
        <w:gridCol w:w="3663"/>
        <w:gridCol w:w="519"/>
        <w:gridCol w:w="1680"/>
        <w:gridCol w:w="1392"/>
      </w:tblGrid>
      <w:tr w14:paraId="63127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E6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母婴护理员（月嫂）服务质量考核表</w:t>
            </w:r>
          </w:p>
        </w:tc>
      </w:tr>
      <w:tr w14:paraId="392E1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DD8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公司名称：                    　        科室名称：                    　         </w:t>
            </w:r>
          </w:p>
        </w:tc>
      </w:tr>
      <w:tr w14:paraId="06693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7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考核类别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0A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C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考核评价内容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8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C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扣分标准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D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存在问题及扣分</w:t>
            </w:r>
          </w:p>
        </w:tc>
      </w:tr>
      <w:tr w14:paraId="0C947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8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月嫂管理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7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7D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有月嫂岗位职责及工作标准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26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无职责扣2分，无工作标准扣1分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75E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16F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580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9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38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配备专职人员进行现场管理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9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66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无扣2分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723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B56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613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2E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专职管理人员每月征求护士长意见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E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9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无扣3分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002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685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641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8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3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专职人员定期下病房检查母婴护理服务质量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B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D9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无扣3分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824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6F0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FF9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AB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护士长反映问题时能及时处理（24小时内）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34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0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不及时扣2分，不解决扣3分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111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771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B74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C3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月嫂持母婴护理师/育婴员等资格证书，并经医院感控、急救、异常识别培训考核合格后上岗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EA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9B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1人不符扣2分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F5A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C2E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E4D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67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88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月嫂持1年内有效健康证并完成专项体检合格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9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10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1人不符扣2分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93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D68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E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产妇照护质量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B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DB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晨晚间护理、口腔清洁、会阴冲洗、协助擦浴洗头、更换衣物及床单到位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4A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一项不到位扣2分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0A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E7E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9EF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9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0F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每日房间通风、物表消毒，协助分餐及餐后清洁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8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一项不到位扣1分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903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77E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F39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1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0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协助早期下床活动，指导正确哺乳姿势、吸奶器使用及乳房基础护理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9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F5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一项不到位扣2分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E23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EAF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DDC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9C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9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观察产妇情绪变化，预防产后抑郁，发现异常及时报告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B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EB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未观察或未报告扣3分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E9F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855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26E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A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BA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准确记录生命体征及恶露量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B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0D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未记录或记录不实扣3分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852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4E4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D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新生儿照护质量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E0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60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按需喂养（含配方奶配制）、拍嗝、更换尿布规范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8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4A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一项不规范扣2分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03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BDC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6807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2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07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沐浴、脐部护理、臀部护理、抚触到位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09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4A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一项不到位扣2分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586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D9C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458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58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0F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每日测量体温、体重，观察并记录黄疸、喂养量及大小便性状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E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0D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未测量或未记录扣3分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9CF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807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0A2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6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FD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发现体温异常、黄疸加深、拒奶、嗜睡、呼吸异常等立即上报医护团队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44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未及时上报扣3分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9BC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8F2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C24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C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57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预防呛奶、捂热、坠床等意外，提供安全环境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2E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一项不到位扣1分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2E9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A23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91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医疗协同与安全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2A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配合护送产妇及新生儿接受检查、治疗、疫苗、听力筛查等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8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66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不配合扣3分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463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C41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5DA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36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20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严格执行卫生及物品消毒隔离制度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5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D6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违反一次扣2分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F20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83E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6A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92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3F3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按规定填写《月嫂工作日志》，交接时签字确认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2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E9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未填写或未签字扣2分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333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384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B10A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48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母婴安全，无跌倒、坠床、烫伤、走失等意外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F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AD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发生一例扣5分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A9D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8EA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F1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职业素养与纪律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1B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45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统一着装、佩戴证件，仪容整洁（不留长指甲、不佩戴首饰、不穿拖鞋）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92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4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每人不符扣1分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572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5D9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71D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DB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0D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24小时驻守服务，不擅自离岗、串岗、干私活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C8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DD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发现一次扣2分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0A5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33B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22E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1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8E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服从院方安排，态度和蔼、文明用语，不与产妇及家属争吵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C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8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发现一次扣2分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FB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B66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363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76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9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上岗不玩手机、不看书报杂志、不聚众闲聊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DF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F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发现一次扣1分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248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9AC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67E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0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8B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尊重保护母婴隐私，不谈论与母婴无关事项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3D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7D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发现一次扣2分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A8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2F0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C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满意度评价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AD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CB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产妇及家属对月嫂服务满意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8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AA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不满意1人次扣2分，有效投诉1例扣5分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91F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6C4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8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1F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  计（满分100分，90分为合格）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27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9A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实得分：        分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0A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192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D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否决项（发生下列任一情形，一票否决，按处罚条款调离/辞退，情节严重者移交相关部门并承担法律责任）</w:t>
            </w:r>
          </w:p>
        </w:tc>
      </w:tr>
      <w:tr w14:paraId="48B99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7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65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72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向产妇及家属推销产品，或导流院外第三方机构（通乳、产后修复、盆底康复等）、收受返点提成</w:t>
            </w:r>
          </w:p>
        </w:tc>
      </w:tr>
      <w:tr w14:paraId="3EF3C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CC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65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1E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使用未经医生批准的药物、偏方或催乳手法</w:t>
            </w:r>
          </w:p>
        </w:tc>
      </w:tr>
      <w:tr w14:paraId="7C388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B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65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1E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擅自判断处理产妇发热出血、新生儿黄疸/吐奶发绀等病情而未上报医护</w:t>
            </w:r>
          </w:p>
        </w:tc>
      </w:tr>
      <w:tr w14:paraId="0D346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F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65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27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无护士在场时擅自调整医疗设备（如蓝光箱参数）</w:t>
            </w:r>
          </w:p>
        </w:tc>
      </w:tr>
      <w:tr w14:paraId="5B9F7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74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65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79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使用手机拍摄、录制并传播产妇、新生儿、病区、病历、治疗等影像</w:t>
            </w:r>
          </w:p>
        </w:tc>
      </w:tr>
      <w:tr w14:paraId="50C74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B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65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2E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评判、质疑医护诊疗方案，在家属面前吐槽医护，挑拨家属与医护矛盾、煽动投诉</w:t>
            </w:r>
          </w:p>
        </w:tc>
      </w:tr>
      <w:tr w14:paraId="34E5A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35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65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44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发生坠床、烫伤、走失等意外事故并造成不良后果（须承担相应法律与经济赔偿责任）</w:t>
            </w:r>
          </w:p>
        </w:tc>
      </w:tr>
      <w:tr w14:paraId="64C32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6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考核人：                                      考核日期：      年    月    日　　             </w:t>
            </w:r>
          </w:p>
        </w:tc>
      </w:tr>
      <w:tr w14:paraId="302A2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CC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注：1、本表满分100分，90分为合格，每低1分按合同约定处以100元罚款；2、考核标准可根据上级要求和实际情况动态调整。</w:t>
            </w:r>
          </w:p>
        </w:tc>
      </w:tr>
    </w:tbl>
    <w:p w14:paraId="06473429">
      <w:pPr>
        <w:rPr>
          <w:rFonts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27809"/>
    <w:multiLevelType w:val="singleLevel"/>
    <w:tmpl w:val="61727809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1727A70"/>
    <w:multiLevelType w:val="singleLevel"/>
    <w:tmpl w:val="61727A70"/>
    <w:lvl w:ilvl="0" w:tentative="0">
      <w:start w:val="1"/>
      <w:numFmt w:val="decimal"/>
      <w:suff w:val="nothing"/>
      <w:lvlText w:val="%1."/>
      <w:lvlJc w:val="left"/>
    </w:lvl>
  </w:abstractNum>
  <w:abstractNum w:abstractNumId="2">
    <w:nsid w:val="61727A94"/>
    <w:multiLevelType w:val="singleLevel"/>
    <w:tmpl w:val="61727A94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1727D40"/>
    <w:multiLevelType w:val="singleLevel"/>
    <w:tmpl w:val="61727D40"/>
    <w:lvl w:ilvl="0" w:tentative="0">
      <w:start w:val="1"/>
      <w:numFmt w:val="decimal"/>
      <w:suff w:val="nothing"/>
      <w:lvlText w:val="%1."/>
      <w:lvlJc w:val="left"/>
    </w:lvl>
  </w:abstractNum>
  <w:abstractNum w:abstractNumId="4">
    <w:nsid w:val="72AD35E0"/>
    <w:multiLevelType w:val="multilevel"/>
    <w:tmpl w:val="72AD35E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0A"/>
    <w:rsid w:val="000163D1"/>
    <w:rsid w:val="000A6096"/>
    <w:rsid w:val="000E3E57"/>
    <w:rsid w:val="00166E5A"/>
    <w:rsid w:val="00172AC8"/>
    <w:rsid w:val="001C58A1"/>
    <w:rsid w:val="00283338"/>
    <w:rsid w:val="0028395A"/>
    <w:rsid w:val="002843CC"/>
    <w:rsid w:val="00337717"/>
    <w:rsid w:val="00395D50"/>
    <w:rsid w:val="00494434"/>
    <w:rsid w:val="004A2A0A"/>
    <w:rsid w:val="004B5E0F"/>
    <w:rsid w:val="004B704E"/>
    <w:rsid w:val="004C49FF"/>
    <w:rsid w:val="004E0CF5"/>
    <w:rsid w:val="004E7BCC"/>
    <w:rsid w:val="0054212E"/>
    <w:rsid w:val="00612E1F"/>
    <w:rsid w:val="006E2851"/>
    <w:rsid w:val="007907F8"/>
    <w:rsid w:val="007E46CB"/>
    <w:rsid w:val="007F1029"/>
    <w:rsid w:val="00801BD4"/>
    <w:rsid w:val="008D1034"/>
    <w:rsid w:val="009116D4"/>
    <w:rsid w:val="00937DBA"/>
    <w:rsid w:val="009C15CF"/>
    <w:rsid w:val="00A61BDD"/>
    <w:rsid w:val="00A77022"/>
    <w:rsid w:val="00AB54E6"/>
    <w:rsid w:val="00C40A5F"/>
    <w:rsid w:val="00C80A40"/>
    <w:rsid w:val="00E87042"/>
    <w:rsid w:val="00ED2661"/>
    <w:rsid w:val="00ED71F6"/>
    <w:rsid w:val="00FA3156"/>
    <w:rsid w:val="00FA643B"/>
    <w:rsid w:val="02105DD0"/>
    <w:rsid w:val="02273111"/>
    <w:rsid w:val="039B791C"/>
    <w:rsid w:val="05292C75"/>
    <w:rsid w:val="079A613C"/>
    <w:rsid w:val="0D4E2DF0"/>
    <w:rsid w:val="0E9A3A5A"/>
    <w:rsid w:val="0EB268B9"/>
    <w:rsid w:val="18874ECB"/>
    <w:rsid w:val="1A191039"/>
    <w:rsid w:val="1DDD721A"/>
    <w:rsid w:val="1F3E3B08"/>
    <w:rsid w:val="21A87B25"/>
    <w:rsid w:val="252B074F"/>
    <w:rsid w:val="291E49C7"/>
    <w:rsid w:val="2C853BC8"/>
    <w:rsid w:val="2C923702"/>
    <w:rsid w:val="30B71989"/>
    <w:rsid w:val="326340B4"/>
    <w:rsid w:val="333A41AC"/>
    <w:rsid w:val="336C3DBF"/>
    <w:rsid w:val="340D750C"/>
    <w:rsid w:val="342F1837"/>
    <w:rsid w:val="34BA1A48"/>
    <w:rsid w:val="35541A40"/>
    <w:rsid w:val="390B0AC4"/>
    <w:rsid w:val="3AC058DE"/>
    <w:rsid w:val="3B860E72"/>
    <w:rsid w:val="3D1163FD"/>
    <w:rsid w:val="3D5D7415"/>
    <w:rsid w:val="3E5A1BA6"/>
    <w:rsid w:val="469A6FE4"/>
    <w:rsid w:val="46CE4EDF"/>
    <w:rsid w:val="47170C2D"/>
    <w:rsid w:val="473C453F"/>
    <w:rsid w:val="49446C09"/>
    <w:rsid w:val="4B4A023B"/>
    <w:rsid w:val="4C9B1D07"/>
    <w:rsid w:val="4E2B2C17"/>
    <w:rsid w:val="4F416918"/>
    <w:rsid w:val="5E203E1A"/>
    <w:rsid w:val="5F7D704B"/>
    <w:rsid w:val="61A42FB4"/>
    <w:rsid w:val="62C70D09"/>
    <w:rsid w:val="66AD46B9"/>
    <w:rsid w:val="6D3A315F"/>
    <w:rsid w:val="70AD43BD"/>
    <w:rsid w:val="71F25676"/>
    <w:rsid w:val="72A440CB"/>
    <w:rsid w:val="735D08E5"/>
    <w:rsid w:val="735D7E31"/>
    <w:rsid w:val="7BEB43D7"/>
    <w:rsid w:val="7FAE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textAlignment w:val="baseline"/>
    </w:pPr>
    <w:rPr>
      <w:rFonts w:ascii="Courier" w:hAnsi="Courier" w:eastAsia="MingLiU" w:cs="Times New Roman"/>
      <w:kern w:val="0"/>
      <w:sz w:val="20"/>
      <w:szCs w:val="20"/>
      <w:lang w:val="en-US" w:eastAsia="zh-TW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rFonts w:ascii="Courier" w:hAnsi="Courier" w:eastAsia="MingLiU" w:cs="Times New Roman"/>
      <w:kern w:val="0"/>
      <w:sz w:val="18"/>
      <w:szCs w:val="18"/>
      <w:lang w:eastAsia="zh-TW"/>
    </w:rPr>
  </w:style>
  <w:style w:type="character" w:customStyle="1" w:styleId="9">
    <w:name w:val="页脚 字符"/>
    <w:basedOn w:val="7"/>
    <w:link w:val="3"/>
    <w:uiPriority w:val="99"/>
    <w:rPr>
      <w:rFonts w:ascii="Courier" w:hAnsi="Courier" w:eastAsia="MingLiU" w:cs="Times New Roman"/>
      <w:kern w:val="0"/>
      <w:sz w:val="18"/>
      <w:szCs w:val="18"/>
      <w:lang w:eastAsia="zh-TW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649</Words>
  <Characters>662</Characters>
  <Lines>16</Lines>
  <Paragraphs>4</Paragraphs>
  <TotalTime>11</TotalTime>
  <ScaleCrop>false</ScaleCrop>
  <LinksUpToDate>false</LinksUpToDate>
  <CharactersWithSpaces>662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2026-06-12T15:31:00Z</dcterms:created>
  <dc:creator>Administrator</dc:creator>
  <cp:lastModifiedBy>气球不息</cp:lastModifiedBy>
  <dcterms:modified xsi:type="dcterms:W3CDTF">2026-09-23T00:54:07Z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eyJoZGlkIjoiMTI0NzVhMTQ3YjY2MzBkNWFmNjRjZGI2NTQzMGQ2NzQiLCJ1c2VySWQiOiIyMzg5MDk1OTcifQ==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1774D1C79CBD406383BDC2FED7EA43A5_13</vt:lpwstr>
  </property>
</Properties>
</file>