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CB2AD">
      <w:pPr>
        <w:pStyle w:val="10"/>
        <w:widowControl w:val="0"/>
        <w:ind w:left="500"/>
        <w:jc w:val="center"/>
        <w:rPr>
          <w:rFonts w:ascii="Times New Roman" w:hAnsi="Times New Roman"/>
          <w:b/>
          <w:sz w:val="32"/>
          <w:szCs w:val="32"/>
          <w:lang w:eastAsia="zh-CN"/>
        </w:rPr>
      </w:pPr>
      <w:r>
        <w:rPr>
          <w:rFonts w:hint="eastAsia" w:ascii="Times New Roman" w:hAnsi="Times New Roman"/>
          <w:b/>
          <w:sz w:val="32"/>
          <w:szCs w:val="32"/>
        </w:rPr>
        <w:t>移动电子屏</w:t>
      </w:r>
      <w:r>
        <w:rPr>
          <w:rFonts w:hint="eastAsia" w:ascii="Times New Roman" w:hAnsi="Times New Roman"/>
          <w:b/>
          <w:sz w:val="32"/>
          <w:szCs w:val="32"/>
          <w:lang w:val="en-US" w:eastAsia="zh-CN"/>
        </w:rPr>
        <w:t>建设项目</w:t>
      </w:r>
      <w:r>
        <w:rPr>
          <w:rFonts w:hint="eastAsia" w:ascii="Times New Roman" w:hAnsi="Times New Roman"/>
          <w:b/>
          <w:sz w:val="32"/>
          <w:szCs w:val="32"/>
        </w:rPr>
        <w:t>需求</w:t>
      </w:r>
    </w:p>
    <w:p w14:paraId="1EAF1EF9">
      <w:pPr>
        <w:pStyle w:val="10"/>
        <w:widowControl w:val="0"/>
        <w:ind w:left="500"/>
        <w:jc w:val="center"/>
        <w:rPr>
          <w:rFonts w:hint="eastAsia" w:ascii="Times New Roman" w:hAnsi="Times New Roman"/>
          <w:b/>
          <w:sz w:val="32"/>
          <w:szCs w:val="32"/>
          <w:lang w:eastAsia="zh-CN"/>
        </w:rPr>
      </w:pPr>
    </w:p>
    <w:p w14:paraId="4244CF05">
      <w:pPr>
        <w:spacing w:line="360" w:lineRule="auto"/>
        <w:contextualSpacing/>
        <w:rPr>
          <w:sz w:val="24"/>
        </w:rPr>
      </w:pPr>
      <w:r>
        <w:rPr>
          <w:rFonts w:hint="eastAsia"/>
          <w:sz w:val="24"/>
        </w:rPr>
        <w:t>1</w:t>
      </w:r>
      <w:r>
        <w:rPr>
          <w:sz w:val="24"/>
        </w:rPr>
        <w:t>. 服务内容及要求/货物技术要求</w:t>
      </w:r>
      <w:bookmarkStart w:id="0" w:name="_GoBack"/>
      <w:bookmarkEnd w:id="0"/>
    </w:p>
    <w:p w14:paraId="07C17ACB">
      <w:pPr>
        <w:spacing w:line="360" w:lineRule="auto"/>
        <w:ind w:firstLine="720" w:firstLineChars="300"/>
        <w:rPr>
          <w:rFonts w:hint="eastAsia" w:ascii="宋体" w:hAnsi="宋体"/>
          <w:sz w:val="24"/>
          <w:szCs w:val="28"/>
        </w:rPr>
      </w:pPr>
      <w:r>
        <w:rPr>
          <w:rFonts w:hint="eastAsia" w:ascii="宋体" w:hAnsi="宋体"/>
          <w:sz w:val="24"/>
          <w:szCs w:val="28"/>
        </w:rPr>
        <w:t>为</w:t>
      </w:r>
      <w:r>
        <w:rPr>
          <w:rFonts w:ascii="宋体" w:hAnsi="宋体"/>
          <w:sz w:val="24"/>
          <w:szCs w:val="24"/>
        </w:rPr>
        <w:t>进一步提升</w:t>
      </w:r>
      <w:r>
        <w:rPr>
          <w:rFonts w:hint="eastAsia" w:ascii="宋体" w:hAnsi="宋体"/>
          <w:sz w:val="24"/>
          <w:szCs w:val="24"/>
        </w:rPr>
        <w:t>南京大学医学院附属苏州医院（苏州科技城医院）的</w:t>
      </w:r>
      <w:r>
        <w:rPr>
          <w:rFonts w:ascii="宋体" w:hAnsi="宋体"/>
          <w:sz w:val="24"/>
          <w:szCs w:val="24"/>
        </w:rPr>
        <w:t>医疗服务质量和效率，</w:t>
      </w:r>
      <w:r>
        <w:rPr>
          <w:sz w:val="24"/>
          <w:szCs w:val="24"/>
        </w:rPr>
        <w:t>‌</w:t>
      </w:r>
      <w:r>
        <w:rPr>
          <w:rFonts w:ascii="宋体" w:hAnsi="宋体"/>
          <w:sz w:val="24"/>
          <w:szCs w:val="24"/>
        </w:rPr>
        <w:t>优化患者就医体验，</w:t>
      </w:r>
      <w:r>
        <w:rPr>
          <w:rFonts w:ascii="宋体" w:hAnsi="宋体"/>
          <w:sz w:val="24"/>
          <w:szCs w:val="28"/>
        </w:rPr>
        <w:t>通过引入先进的信息技术，</w:t>
      </w:r>
      <w:r>
        <w:rPr>
          <w:sz w:val="24"/>
          <w:szCs w:val="28"/>
        </w:rPr>
        <w:t>‌</w:t>
      </w:r>
      <w:r>
        <w:rPr>
          <w:rFonts w:ascii="宋体" w:hAnsi="宋体"/>
          <w:sz w:val="24"/>
          <w:szCs w:val="28"/>
        </w:rPr>
        <w:t>提升医院</w:t>
      </w:r>
      <w:r>
        <w:rPr>
          <w:rFonts w:hint="eastAsia" w:ascii="宋体" w:hAnsi="宋体"/>
          <w:sz w:val="24"/>
          <w:szCs w:val="28"/>
        </w:rPr>
        <w:t>门诊</w:t>
      </w:r>
      <w:r>
        <w:rPr>
          <w:rFonts w:ascii="宋体" w:hAnsi="宋体"/>
          <w:sz w:val="24"/>
          <w:szCs w:val="28"/>
        </w:rPr>
        <w:t>的管理效率与患者</w:t>
      </w:r>
      <w:r>
        <w:rPr>
          <w:rFonts w:hint="eastAsia" w:ascii="宋体" w:hAnsi="宋体"/>
          <w:sz w:val="24"/>
          <w:szCs w:val="28"/>
        </w:rPr>
        <w:t>就诊环境，拟建设一套智慧数媒信息服务系统，把医院所有专家信息以图文形式展示出来，同时可作为统一宣教平台，发布医院相关宣教信息。</w:t>
      </w:r>
      <w:r>
        <w:rPr>
          <w:sz w:val="24"/>
          <w:szCs w:val="28"/>
        </w:rPr>
        <w:t>‌</w:t>
      </w:r>
      <w:r>
        <w:rPr>
          <w:rFonts w:ascii="宋体" w:hAnsi="宋体"/>
          <w:sz w:val="24"/>
          <w:szCs w:val="28"/>
        </w:rPr>
        <w:t>要求投标方具备</w:t>
      </w:r>
      <w:r>
        <w:rPr>
          <w:sz w:val="24"/>
          <w:szCs w:val="28"/>
        </w:rPr>
        <w:t>‌</w:t>
      </w:r>
      <w:r>
        <w:rPr>
          <w:rFonts w:ascii="宋体" w:hAnsi="宋体"/>
          <w:sz w:val="24"/>
          <w:szCs w:val="28"/>
        </w:rPr>
        <w:t>丰富的项目经验及完善的售后服务体系。</w:t>
      </w:r>
      <w:r>
        <w:rPr>
          <w:sz w:val="24"/>
          <w:szCs w:val="28"/>
        </w:rPr>
        <w:t>‌</w:t>
      </w:r>
      <w:r>
        <w:rPr>
          <w:rFonts w:ascii="宋体" w:hAnsi="宋体"/>
          <w:sz w:val="24"/>
          <w:szCs w:val="28"/>
        </w:rPr>
        <w:t>招标过程中，</w:t>
      </w:r>
      <w:r>
        <w:rPr>
          <w:sz w:val="24"/>
          <w:szCs w:val="28"/>
        </w:rPr>
        <w:t>‌</w:t>
      </w:r>
      <w:r>
        <w:rPr>
          <w:rFonts w:ascii="宋体" w:hAnsi="宋体"/>
          <w:sz w:val="24"/>
          <w:szCs w:val="28"/>
        </w:rPr>
        <w:t>将严格审查投标方的资质、</w:t>
      </w:r>
      <w:r>
        <w:rPr>
          <w:sz w:val="24"/>
          <w:szCs w:val="28"/>
        </w:rPr>
        <w:t>‌</w:t>
      </w:r>
      <w:r>
        <w:rPr>
          <w:rFonts w:ascii="宋体" w:hAnsi="宋体"/>
          <w:sz w:val="24"/>
          <w:szCs w:val="28"/>
        </w:rPr>
        <w:t>技术实力及过往案例，</w:t>
      </w:r>
      <w:r>
        <w:rPr>
          <w:sz w:val="24"/>
          <w:szCs w:val="28"/>
        </w:rPr>
        <w:t>‌</w:t>
      </w:r>
      <w:r>
        <w:rPr>
          <w:rFonts w:ascii="宋体" w:hAnsi="宋体"/>
          <w:sz w:val="24"/>
          <w:szCs w:val="28"/>
        </w:rPr>
        <w:t>确保中标方能够高质量完成项目建设。</w:t>
      </w:r>
      <w:r>
        <w:rPr>
          <w:sz w:val="24"/>
          <w:szCs w:val="28"/>
        </w:rPr>
        <w:t>‌</w:t>
      </w:r>
      <w:r>
        <w:rPr>
          <w:rFonts w:ascii="宋体" w:hAnsi="宋体"/>
          <w:sz w:val="24"/>
          <w:szCs w:val="28"/>
        </w:rPr>
        <w:t>项目完成后，</w:t>
      </w:r>
      <w:r>
        <w:rPr>
          <w:sz w:val="24"/>
          <w:szCs w:val="28"/>
        </w:rPr>
        <w:t>‌</w:t>
      </w:r>
      <w:r>
        <w:rPr>
          <w:rFonts w:ascii="宋体" w:hAnsi="宋体"/>
          <w:sz w:val="24"/>
          <w:szCs w:val="28"/>
        </w:rPr>
        <w:t>将显著提升医疗资源的利用效率，</w:t>
      </w:r>
      <w:r>
        <w:rPr>
          <w:sz w:val="24"/>
          <w:szCs w:val="28"/>
        </w:rPr>
        <w:t>‌</w:t>
      </w:r>
      <w:r>
        <w:rPr>
          <w:rFonts w:ascii="宋体" w:hAnsi="宋体"/>
          <w:sz w:val="24"/>
          <w:szCs w:val="28"/>
        </w:rPr>
        <w:t>为患者提供更加安全、</w:t>
      </w:r>
      <w:r>
        <w:rPr>
          <w:sz w:val="24"/>
          <w:szCs w:val="28"/>
        </w:rPr>
        <w:t>‌</w:t>
      </w:r>
      <w:r>
        <w:rPr>
          <w:rFonts w:ascii="宋体" w:hAnsi="宋体"/>
          <w:sz w:val="24"/>
          <w:szCs w:val="28"/>
        </w:rPr>
        <w:t>便捷、</w:t>
      </w:r>
      <w:r>
        <w:rPr>
          <w:sz w:val="24"/>
          <w:szCs w:val="28"/>
        </w:rPr>
        <w:t>‌</w:t>
      </w:r>
      <w:r>
        <w:rPr>
          <w:rFonts w:ascii="宋体" w:hAnsi="宋体"/>
          <w:sz w:val="24"/>
          <w:szCs w:val="28"/>
        </w:rPr>
        <w:t>高效的医疗服务。</w:t>
      </w:r>
      <w:r>
        <w:rPr>
          <w:sz w:val="24"/>
          <w:szCs w:val="28"/>
        </w:rPr>
        <w:t>‌</w:t>
      </w:r>
    </w:p>
    <w:p w14:paraId="53E40A56">
      <w:pPr>
        <w:spacing w:line="360" w:lineRule="auto"/>
        <w:ind w:firstLine="480"/>
        <w:rPr>
          <w:rFonts w:hint="eastAsia"/>
        </w:rPr>
      </w:pPr>
      <w:r>
        <w:rPr>
          <w:rFonts w:hint="eastAsia" w:ascii="宋体" w:hAnsi="宋体"/>
          <w:sz w:val="24"/>
          <w:szCs w:val="28"/>
        </w:rPr>
        <w:t>该系统应为软硬件结合的综合服务方案，整套系统实现多个场景下的信息发布</w:t>
      </w:r>
      <w:r>
        <w:rPr>
          <w:rFonts w:hint="eastAsia" w:asciiTheme="minorEastAsia" w:hAnsiTheme="minorEastAsia"/>
          <w:sz w:val="24"/>
        </w:rPr>
        <w:t>。要求系统可将院内已有设备利旧使用，纳入统一管理平台。</w:t>
      </w:r>
    </w:p>
    <w:p w14:paraId="6E5CD312">
      <w:pPr>
        <w:spacing w:line="360" w:lineRule="auto"/>
        <w:ind w:firstLine="480"/>
        <w:rPr>
          <w:rFonts w:hint="eastAsia" w:ascii="宋体" w:hAnsi="宋体"/>
          <w:sz w:val="24"/>
          <w:szCs w:val="28"/>
        </w:rPr>
      </w:pPr>
      <w:r>
        <w:rPr>
          <w:rFonts w:hint="eastAsia" w:ascii="宋体" w:hAnsi="宋体"/>
          <w:sz w:val="24"/>
          <w:szCs w:val="28"/>
        </w:rPr>
        <w:t>所有设备支持7*24小时连续运行，系统维护时不影响其他设备正常使用。以期加强门诊服务与管理能力，为智慧门诊的建设与持续升级扩展，打下良好基础。</w:t>
      </w:r>
    </w:p>
    <w:p w14:paraId="23036197">
      <w:pPr>
        <w:numPr>
          <w:ilvl w:val="0"/>
          <w:numId w:val="2"/>
        </w:numPr>
        <w:spacing w:line="360" w:lineRule="auto"/>
        <w:contextualSpacing/>
        <w:rPr>
          <w:sz w:val="24"/>
        </w:rPr>
      </w:pPr>
      <w:r>
        <w:rPr>
          <w:rFonts w:hint="eastAsia"/>
          <w:sz w:val="24"/>
          <w:lang w:eastAsia="zh-CN"/>
        </w:rPr>
        <w:t>响应单位</w:t>
      </w:r>
      <w:r>
        <w:rPr>
          <w:rFonts w:hint="eastAsia"/>
          <w:sz w:val="24"/>
        </w:rPr>
        <w:t>需负责所供设备的安装及调试，可自行到现场勘探。此次项目为新建项目，为了最大程度保证改造期间医院正常运营，要求只能在医院下班时间进行施工。</w:t>
      </w:r>
    </w:p>
    <w:p w14:paraId="31262EAB">
      <w:pPr>
        <w:numPr>
          <w:ilvl w:val="0"/>
          <w:numId w:val="2"/>
        </w:numPr>
        <w:spacing w:line="360" w:lineRule="auto"/>
        <w:contextualSpacing/>
        <w:rPr>
          <w:sz w:val="24"/>
        </w:rPr>
      </w:pPr>
      <w:r>
        <w:rPr>
          <w:rFonts w:hint="eastAsia"/>
          <w:sz w:val="24"/>
        </w:rPr>
        <w:t>▲</w:t>
      </w:r>
      <w:r>
        <w:rPr>
          <w:rFonts w:hint="eastAsia"/>
          <w:sz w:val="24"/>
          <w:lang w:eastAsia="zh-CN"/>
        </w:rPr>
        <w:t>响应单位</w:t>
      </w:r>
      <w:r>
        <w:rPr>
          <w:rFonts w:hint="eastAsia"/>
          <w:sz w:val="24"/>
        </w:rPr>
        <w:t>需提供“智慧数媒信息服务系统软件”相关著作权证书及检测报告。</w:t>
      </w:r>
    </w:p>
    <w:p w14:paraId="7C64527B">
      <w:pPr>
        <w:spacing w:line="360" w:lineRule="auto"/>
        <w:contextualSpacing/>
        <w:rPr>
          <w:sz w:val="24"/>
        </w:rPr>
      </w:pPr>
      <w:r>
        <w:rPr>
          <w:rFonts w:hint="eastAsia"/>
          <w:sz w:val="24"/>
        </w:rPr>
        <w:t>4.▲本项目要求所有设备提供原厂质保3年，投标单位须出具承诺函并加盖原厂公章。</w:t>
      </w:r>
    </w:p>
    <w:p w14:paraId="547A8536">
      <w:pPr>
        <w:spacing w:line="360" w:lineRule="auto"/>
        <w:contextualSpacing/>
        <w:rPr>
          <w:sz w:val="24"/>
        </w:rPr>
      </w:pPr>
      <w:r>
        <w:rPr>
          <w:rFonts w:hint="eastAsia"/>
          <w:sz w:val="24"/>
        </w:rPr>
        <w:t>5.系统服务清单</w:t>
      </w:r>
    </w:p>
    <w:tbl>
      <w:tblPr>
        <w:tblStyle w:val="8"/>
        <w:tblW w:w="7870" w:type="dxa"/>
        <w:tblInd w:w="100" w:type="dxa"/>
        <w:tblLayout w:type="autofit"/>
        <w:tblCellMar>
          <w:top w:w="0" w:type="dxa"/>
          <w:left w:w="108" w:type="dxa"/>
          <w:bottom w:w="0" w:type="dxa"/>
          <w:right w:w="108" w:type="dxa"/>
        </w:tblCellMar>
      </w:tblPr>
      <w:tblGrid>
        <w:gridCol w:w="849"/>
        <w:gridCol w:w="3991"/>
        <w:gridCol w:w="1425"/>
        <w:gridCol w:w="1605"/>
      </w:tblGrid>
      <w:tr w14:paraId="0B401DA6">
        <w:tblPrEx>
          <w:tblCellMar>
            <w:top w:w="0" w:type="dxa"/>
            <w:left w:w="108" w:type="dxa"/>
            <w:bottom w:w="0" w:type="dxa"/>
            <w:right w:w="108" w:type="dxa"/>
          </w:tblCellMar>
        </w:tblPrEx>
        <w:trPr>
          <w:trHeight w:val="600" w:hRule="atLeast"/>
        </w:trPr>
        <w:tc>
          <w:tcPr>
            <w:tcW w:w="849" w:type="dxa"/>
            <w:tcBorders>
              <w:top w:val="single" w:color="000000" w:sz="8" w:space="0"/>
              <w:left w:val="single" w:color="000000" w:sz="8" w:space="0"/>
              <w:bottom w:val="single" w:color="000000" w:sz="8" w:space="0"/>
              <w:right w:val="single" w:color="000000" w:sz="8" w:space="0"/>
            </w:tcBorders>
            <w:vAlign w:val="center"/>
          </w:tcPr>
          <w:p w14:paraId="380FF403">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bidi="ar"/>
              </w:rPr>
              <w:t>序号</w:t>
            </w:r>
          </w:p>
        </w:tc>
        <w:tc>
          <w:tcPr>
            <w:tcW w:w="3991" w:type="dxa"/>
            <w:tcBorders>
              <w:top w:val="single" w:color="000000" w:sz="8" w:space="0"/>
              <w:left w:val="single" w:color="000000" w:sz="8" w:space="0"/>
              <w:bottom w:val="single" w:color="000000" w:sz="8" w:space="0"/>
              <w:right w:val="single" w:color="000000" w:sz="8" w:space="0"/>
            </w:tcBorders>
            <w:vAlign w:val="center"/>
          </w:tcPr>
          <w:p w14:paraId="309C0A9A">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bidi="ar"/>
              </w:rPr>
              <w:t>设备名称</w:t>
            </w:r>
          </w:p>
        </w:tc>
        <w:tc>
          <w:tcPr>
            <w:tcW w:w="1425" w:type="dxa"/>
            <w:tcBorders>
              <w:top w:val="single" w:color="000000" w:sz="8" w:space="0"/>
              <w:left w:val="single" w:color="000000" w:sz="8" w:space="0"/>
              <w:bottom w:val="single" w:color="000000" w:sz="8" w:space="0"/>
              <w:right w:val="single" w:color="000000" w:sz="8" w:space="0"/>
            </w:tcBorders>
            <w:vAlign w:val="center"/>
          </w:tcPr>
          <w:p w14:paraId="33420EF2">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bidi="ar"/>
              </w:rPr>
              <w:t>单位</w:t>
            </w:r>
          </w:p>
        </w:tc>
        <w:tc>
          <w:tcPr>
            <w:tcW w:w="1605" w:type="dxa"/>
            <w:tcBorders>
              <w:top w:val="single" w:color="000000" w:sz="8" w:space="0"/>
              <w:left w:val="single" w:color="000000" w:sz="8" w:space="0"/>
              <w:bottom w:val="single" w:color="000000" w:sz="8" w:space="0"/>
              <w:right w:val="single" w:color="000000" w:sz="8" w:space="0"/>
            </w:tcBorders>
            <w:vAlign w:val="center"/>
          </w:tcPr>
          <w:p w14:paraId="55DBDABD">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bidi="ar"/>
              </w:rPr>
              <w:t>数量</w:t>
            </w:r>
          </w:p>
        </w:tc>
      </w:tr>
      <w:tr w14:paraId="74A4F060">
        <w:tblPrEx>
          <w:tblCellMar>
            <w:top w:w="0" w:type="dxa"/>
            <w:left w:w="108" w:type="dxa"/>
            <w:bottom w:w="0" w:type="dxa"/>
            <w:right w:w="108" w:type="dxa"/>
          </w:tblCellMar>
        </w:tblPrEx>
        <w:trPr>
          <w:trHeight w:val="522" w:hRule="atLeast"/>
        </w:trPr>
        <w:tc>
          <w:tcPr>
            <w:tcW w:w="849" w:type="dxa"/>
            <w:tcBorders>
              <w:top w:val="single" w:color="000000" w:sz="8" w:space="0"/>
              <w:left w:val="single" w:color="000000" w:sz="8" w:space="0"/>
              <w:bottom w:val="single" w:color="000000" w:sz="8" w:space="0"/>
              <w:right w:val="single" w:color="000000" w:sz="8" w:space="0"/>
            </w:tcBorders>
            <w:vAlign w:val="center"/>
          </w:tcPr>
          <w:p w14:paraId="2034E421">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1</w:t>
            </w:r>
          </w:p>
        </w:tc>
        <w:tc>
          <w:tcPr>
            <w:tcW w:w="3991" w:type="dxa"/>
            <w:tcBorders>
              <w:top w:val="single" w:color="000000" w:sz="8" w:space="0"/>
              <w:left w:val="single" w:color="000000" w:sz="8" w:space="0"/>
              <w:bottom w:val="single" w:color="000000" w:sz="8" w:space="0"/>
              <w:right w:val="single" w:color="000000" w:sz="8" w:space="0"/>
            </w:tcBorders>
            <w:vAlign w:val="center"/>
          </w:tcPr>
          <w:p w14:paraId="563C13DD">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65吋液晶网络一体机</w:t>
            </w:r>
          </w:p>
        </w:tc>
        <w:tc>
          <w:tcPr>
            <w:tcW w:w="1425" w:type="dxa"/>
            <w:tcBorders>
              <w:top w:val="single" w:color="000000" w:sz="8" w:space="0"/>
              <w:left w:val="single" w:color="000000" w:sz="8" w:space="0"/>
              <w:bottom w:val="single" w:color="000000" w:sz="8" w:space="0"/>
              <w:right w:val="single" w:color="000000" w:sz="8" w:space="0"/>
            </w:tcBorders>
            <w:vAlign w:val="center"/>
          </w:tcPr>
          <w:p w14:paraId="6F1D7FEC">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台</w:t>
            </w:r>
          </w:p>
        </w:tc>
        <w:tc>
          <w:tcPr>
            <w:tcW w:w="1605" w:type="dxa"/>
            <w:tcBorders>
              <w:top w:val="single" w:color="000000" w:sz="8" w:space="0"/>
              <w:left w:val="single" w:color="000000" w:sz="8" w:space="0"/>
              <w:bottom w:val="single" w:color="000000" w:sz="8" w:space="0"/>
              <w:right w:val="single" w:color="000000" w:sz="8" w:space="0"/>
            </w:tcBorders>
            <w:vAlign w:val="center"/>
          </w:tcPr>
          <w:p w14:paraId="075798D3">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6</w:t>
            </w:r>
          </w:p>
        </w:tc>
      </w:tr>
      <w:tr w14:paraId="324A1483">
        <w:tblPrEx>
          <w:tblCellMar>
            <w:top w:w="0" w:type="dxa"/>
            <w:left w:w="108" w:type="dxa"/>
            <w:bottom w:w="0" w:type="dxa"/>
            <w:right w:w="108" w:type="dxa"/>
          </w:tblCellMar>
        </w:tblPrEx>
        <w:trPr>
          <w:trHeight w:val="721" w:hRule="atLeast"/>
        </w:trPr>
        <w:tc>
          <w:tcPr>
            <w:tcW w:w="849" w:type="dxa"/>
            <w:tcBorders>
              <w:top w:val="single" w:color="000000" w:sz="8" w:space="0"/>
              <w:left w:val="single" w:color="000000" w:sz="8" w:space="0"/>
              <w:bottom w:val="single" w:color="000000" w:sz="8" w:space="0"/>
              <w:right w:val="single" w:color="000000" w:sz="8" w:space="0"/>
            </w:tcBorders>
            <w:vAlign w:val="center"/>
          </w:tcPr>
          <w:p w14:paraId="31B21A99">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2</w:t>
            </w:r>
          </w:p>
        </w:tc>
        <w:tc>
          <w:tcPr>
            <w:tcW w:w="3991" w:type="dxa"/>
            <w:tcBorders>
              <w:top w:val="single" w:color="000000" w:sz="8" w:space="0"/>
              <w:left w:val="single" w:color="000000" w:sz="8" w:space="0"/>
              <w:bottom w:val="single" w:color="000000" w:sz="8" w:space="0"/>
              <w:right w:val="single" w:color="000000" w:sz="8" w:space="0"/>
            </w:tcBorders>
            <w:vAlign w:val="center"/>
          </w:tcPr>
          <w:p w14:paraId="3FAB303C">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55吋液晶网络一体机</w:t>
            </w:r>
          </w:p>
        </w:tc>
        <w:tc>
          <w:tcPr>
            <w:tcW w:w="1425" w:type="dxa"/>
            <w:tcBorders>
              <w:top w:val="single" w:color="000000" w:sz="8" w:space="0"/>
              <w:left w:val="single" w:color="000000" w:sz="8" w:space="0"/>
              <w:bottom w:val="single" w:color="000000" w:sz="8" w:space="0"/>
              <w:right w:val="single" w:color="000000" w:sz="8" w:space="0"/>
            </w:tcBorders>
            <w:vAlign w:val="center"/>
          </w:tcPr>
          <w:p w14:paraId="77ECD0CA">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台</w:t>
            </w:r>
          </w:p>
        </w:tc>
        <w:tc>
          <w:tcPr>
            <w:tcW w:w="1605" w:type="dxa"/>
            <w:tcBorders>
              <w:top w:val="single" w:color="000000" w:sz="8" w:space="0"/>
              <w:left w:val="single" w:color="000000" w:sz="8" w:space="0"/>
              <w:bottom w:val="single" w:color="000000" w:sz="8" w:space="0"/>
              <w:right w:val="single" w:color="000000" w:sz="8" w:space="0"/>
            </w:tcBorders>
            <w:vAlign w:val="center"/>
          </w:tcPr>
          <w:p w14:paraId="5908493F">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9</w:t>
            </w:r>
          </w:p>
        </w:tc>
      </w:tr>
      <w:tr w14:paraId="1F0C8A9F">
        <w:tblPrEx>
          <w:tblCellMar>
            <w:top w:w="0" w:type="dxa"/>
            <w:left w:w="108" w:type="dxa"/>
            <w:bottom w:w="0" w:type="dxa"/>
            <w:right w:w="108" w:type="dxa"/>
          </w:tblCellMar>
        </w:tblPrEx>
        <w:trPr>
          <w:trHeight w:val="522" w:hRule="atLeast"/>
        </w:trPr>
        <w:tc>
          <w:tcPr>
            <w:tcW w:w="849" w:type="dxa"/>
            <w:tcBorders>
              <w:top w:val="single" w:color="000000" w:sz="8" w:space="0"/>
              <w:left w:val="single" w:color="000000" w:sz="8" w:space="0"/>
              <w:bottom w:val="single" w:color="000000" w:sz="8" w:space="0"/>
              <w:right w:val="single" w:color="000000" w:sz="8" w:space="0"/>
            </w:tcBorders>
            <w:vAlign w:val="center"/>
          </w:tcPr>
          <w:p w14:paraId="7B76A5BB">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3</w:t>
            </w:r>
          </w:p>
        </w:tc>
        <w:tc>
          <w:tcPr>
            <w:tcW w:w="3991" w:type="dxa"/>
            <w:tcBorders>
              <w:top w:val="single" w:color="000000" w:sz="8" w:space="0"/>
              <w:left w:val="single" w:color="000000" w:sz="8" w:space="0"/>
              <w:bottom w:val="single" w:color="000000" w:sz="8" w:space="0"/>
              <w:right w:val="single" w:color="000000" w:sz="8" w:space="0"/>
            </w:tcBorders>
            <w:vAlign w:val="center"/>
          </w:tcPr>
          <w:p w14:paraId="3820C1E3">
            <w:pPr>
              <w:widowControl/>
              <w:jc w:val="center"/>
              <w:textAlignment w:val="center"/>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智慧数媒信息服务系统软件</w:t>
            </w:r>
          </w:p>
        </w:tc>
        <w:tc>
          <w:tcPr>
            <w:tcW w:w="1425" w:type="dxa"/>
            <w:tcBorders>
              <w:top w:val="single" w:color="000000" w:sz="8" w:space="0"/>
              <w:left w:val="single" w:color="000000" w:sz="8" w:space="0"/>
              <w:bottom w:val="single" w:color="000000" w:sz="8" w:space="0"/>
              <w:right w:val="single" w:color="000000" w:sz="8" w:space="0"/>
            </w:tcBorders>
            <w:vAlign w:val="center"/>
          </w:tcPr>
          <w:p w14:paraId="5FFE2C96">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套</w:t>
            </w:r>
          </w:p>
        </w:tc>
        <w:tc>
          <w:tcPr>
            <w:tcW w:w="1605" w:type="dxa"/>
            <w:tcBorders>
              <w:top w:val="single" w:color="000000" w:sz="8" w:space="0"/>
              <w:left w:val="single" w:color="000000" w:sz="8" w:space="0"/>
              <w:bottom w:val="single" w:color="000000" w:sz="8" w:space="0"/>
              <w:right w:val="single" w:color="000000" w:sz="8" w:space="0"/>
            </w:tcBorders>
            <w:vAlign w:val="center"/>
          </w:tcPr>
          <w:p w14:paraId="0829F1DB">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1</w:t>
            </w:r>
          </w:p>
        </w:tc>
      </w:tr>
      <w:tr w14:paraId="07F5743D">
        <w:tblPrEx>
          <w:tblCellMar>
            <w:top w:w="0" w:type="dxa"/>
            <w:left w:w="108" w:type="dxa"/>
            <w:bottom w:w="0" w:type="dxa"/>
            <w:right w:w="108" w:type="dxa"/>
          </w:tblCellMar>
        </w:tblPrEx>
        <w:trPr>
          <w:trHeight w:val="630" w:hRule="atLeast"/>
        </w:trPr>
        <w:tc>
          <w:tcPr>
            <w:tcW w:w="849" w:type="dxa"/>
            <w:tcBorders>
              <w:top w:val="single" w:color="000000" w:sz="8" w:space="0"/>
              <w:left w:val="single" w:color="000000" w:sz="8" w:space="0"/>
              <w:bottom w:val="single" w:color="000000" w:sz="8" w:space="0"/>
              <w:right w:val="single" w:color="000000" w:sz="8" w:space="0"/>
            </w:tcBorders>
            <w:vAlign w:val="center"/>
          </w:tcPr>
          <w:p w14:paraId="1402B0D3">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4</w:t>
            </w:r>
          </w:p>
        </w:tc>
        <w:tc>
          <w:tcPr>
            <w:tcW w:w="3991" w:type="dxa"/>
            <w:tcBorders>
              <w:top w:val="single" w:color="000000" w:sz="8" w:space="0"/>
              <w:left w:val="single" w:color="000000" w:sz="8" w:space="0"/>
              <w:bottom w:val="single" w:color="000000" w:sz="8" w:space="0"/>
              <w:right w:val="single" w:color="000000" w:sz="8" w:space="0"/>
            </w:tcBorders>
            <w:vAlign w:val="center"/>
          </w:tcPr>
          <w:p w14:paraId="477F509B">
            <w:pPr>
              <w:widowControl/>
              <w:jc w:val="center"/>
              <w:textAlignment w:val="center"/>
              <w:rPr>
                <w:rFonts w:hint="eastAsia" w:asciiTheme="minorEastAsia" w:hAnsiTheme="minorEastAsia" w:eastAsiaTheme="minorEastAsia" w:cstheme="minorEastAsia"/>
                <w:color w:val="000000"/>
                <w:sz w:val="24"/>
                <w:szCs w:val="24"/>
                <w:lang w:bidi="ar"/>
              </w:rPr>
            </w:pPr>
            <w:r>
              <w:rPr>
                <w:rFonts w:hint="eastAsia" w:asciiTheme="minorEastAsia" w:hAnsiTheme="minorEastAsia" w:eastAsiaTheme="minorEastAsia" w:cstheme="minorEastAsia"/>
                <w:color w:val="000000"/>
                <w:sz w:val="24"/>
                <w:szCs w:val="24"/>
                <w:lang w:bidi="ar"/>
              </w:rPr>
              <w:t>信息显示客户端授权软件</w:t>
            </w:r>
          </w:p>
        </w:tc>
        <w:tc>
          <w:tcPr>
            <w:tcW w:w="1425" w:type="dxa"/>
            <w:tcBorders>
              <w:top w:val="single" w:color="000000" w:sz="8" w:space="0"/>
              <w:left w:val="single" w:color="000000" w:sz="8" w:space="0"/>
              <w:bottom w:val="single" w:color="000000" w:sz="8" w:space="0"/>
              <w:right w:val="single" w:color="000000" w:sz="8" w:space="0"/>
            </w:tcBorders>
            <w:vAlign w:val="center"/>
          </w:tcPr>
          <w:p w14:paraId="1F9A5D96">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套</w:t>
            </w:r>
          </w:p>
        </w:tc>
        <w:tc>
          <w:tcPr>
            <w:tcW w:w="1605" w:type="dxa"/>
            <w:tcBorders>
              <w:top w:val="single" w:color="000000" w:sz="8" w:space="0"/>
              <w:left w:val="single" w:color="000000" w:sz="8" w:space="0"/>
              <w:bottom w:val="single" w:color="000000" w:sz="8" w:space="0"/>
              <w:right w:val="single" w:color="000000" w:sz="8" w:space="0"/>
            </w:tcBorders>
            <w:vAlign w:val="center"/>
          </w:tcPr>
          <w:p w14:paraId="64F9C93B">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25</w:t>
            </w:r>
          </w:p>
        </w:tc>
      </w:tr>
    </w:tbl>
    <w:p w14:paraId="08F941B2">
      <w:pPr>
        <w:spacing w:line="360" w:lineRule="auto"/>
        <w:ind w:firstLine="480" w:firstLineChars="200"/>
        <w:rPr>
          <w:sz w:val="24"/>
        </w:rPr>
      </w:pPr>
      <w:r>
        <w:rPr>
          <w:rFonts w:hint="eastAsia"/>
          <w:sz w:val="24"/>
        </w:rPr>
        <w:t>合同履行期限：自签订合同，收到甲方通知后15天内完成交货、安装、调试完毕并交付使用。</w:t>
      </w:r>
    </w:p>
    <w:p w14:paraId="4EACF174">
      <w:pPr>
        <w:pStyle w:val="2"/>
        <w:ind w:firstLine="480" w:firstLineChars="200"/>
        <w:rPr>
          <w:rFonts w:ascii="Times New Roman" w:hAnsi="Times New Roman"/>
          <w:sz w:val="24"/>
          <w:szCs w:val="21"/>
        </w:rPr>
      </w:pPr>
      <w:r>
        <w:rPr>
          <w:rFonts w:hint="eastAsia" w:ascii="Times New Roman" w:hAnsi="Times New Roman"/>
          <w:sz w:val="24"/>
          <w:szCs w:val="21"/>
        </w:rPr>
        <w:t>质保期：所有设备免费原厂质保期3年。</w:t>
      </w:r>
    </w:p>
    <w:p w14:paraId="5E59B067">
      <w:pPr>
        <w:spacing w:line="360" w:lineRule="auto"/>
        <w:contextualSpacing/>
        <w:rPr>
          <w:sz w:val="24"/>
        </w:rPr>
      </w:pPr>
      <w:r>
        <w:rPr>
          <w:rFonts w:hint="eastAsia"/>
          <w:sz w:val="24"/>
        </w:rPr>
        <w:t>6. 技术要求</w:t>
      </w:r>
    </w:p>
    <w:tbl>
      <w:tblPr>
        <w:tblStyle w:val="8"/>
        <w:tblW w:w="9098" w:type="dxa"/>
        <w:tblInd w:w="100" w:type="dxa"/>
        <w:tblLayout w:type="autofit"/>
        <w:tblCellMar>
          <w:top w:w="0" w:type="dxa"/>
          <w:left w:w="108" w:type="dxa"/>
          <w:bottom w:w="0" w:type="dxa"/>
          <w:right w:w="108" w:type="dxa"/>
        </w:tblCellMar>
      </w:tblPr>
      <w:tblGrid>
        <w:gridCol w:w="826"/>
        <w:gridCol w:w="1673"/>
        <w:gridCol w:w="6599"/>
      </w:tblGrid>
      <w:tr w14:paraId="439A7FE4">
        <w:tblPrEx>
          <w:tblCellMar>
            <w:top w:w="0" w:type="dxa"/>
            <w:left w:w="108" w:type="dxa"/>
            <w:bottom w:w="0" w:type="dxa"/>
            <w:right w:w="108" w:type="dxa"/>
          </w:tblCellMar>
        </w:tblPrEx>
        <w:trPr>
          <w:trHeight w:val="600" w:hRule="atLeast"/>
        </w:trPr>
        <w:tc>
          <w:tcPr>
            <w:tcW w:w="826" w:type="dxa"/>
            <w:tcBorders>
              <w:top w:val="single" w:color="000000" w:sz="8" w:space="0"/>
              <w:left w:val="single" w:color="000000" w:sz="8" w:space="0"/>
              <w:bottom w:val="single" w:color="000000" w:sz="8" w:space="0"/>
              <w:right w:val="single" w:color="000000" w:sz="8" w:space="0"/>
            </w:tcBorders>
            <w:vAlign w:val="center"/>
          </w:tcPr>
          <w:p w14:paraId="17F36972">
            <w:pPr>
              <w:widowControl/>
              <w:jc w:val="center"/>
              <w:textAlignment w:val="center"/>
              <w:rPr>
                <w:rFonts w:hint="eastAsia" w:ascii="宋体" w:hAnsi="宋体" w:cs="宋体"/>
                <w:b/>
                <w:bCs/>
                <w:color w:val="000000"/>
                <w:sz w:val="28"/>
                <w:szCs w:val="28"/>
              </w:rPr>
            </w:pPr>
            <w:r>
              <w:rPr>
                <w:rFonts w:hint="eastAsia" w:ascii="宋体" w:hAnsi="宋体" w:cs="宋体"/>
                <w:b/>
                <w:bCs/>
                <w:color w:val="000000"/>
                <w:sz w:val="28"/>
                <w:szCs w:val="28"/>
                <w:lang w:bidi="ar"/>
              </w:rPr>
              <w:t>序号</w:t>
            </w:r>
          </w:p>
        </w:tc>
        <w:tc>
          <w:tcPr>
            <w:tcW w:w="1673" w:type="dxa"/>
            <w:tcBorders>
              <w:top w:val="single" w:color="000000" w:sz="8" w:space="0"/>
              <w:left w:val="single" w:color="000000" w:sz="8" w:space="0"/>
              <w:bottom w:val="single" w:color="000000" w:sz="8" w:space="0"/>
              <w:right w:val="single" w:color="000000" w:sz="8" w:space="0"/>
            </w:tcBorders>
            <w:vAlign w:val="center"/>
          </w:tcPr>
          <w:p w14:paraId="23A7AC61">
            <w:pPr>
              <w:widowControl/>
              <w:jc w:val="center"/>
              <w:textAlignment w:val="center"/>
              <w:rPr>
                <w:rFonts w:hint="eastAsia" w:ascii="宋体" w:hAnsi="宋体" w:cs="宋体"/>
                <w:b/>
                <w:bCs/>
                <w:color w:val="000000"/>
                <w:sz w:val="28"/>
                <w:szCs w:val="28"/>
              </w:rPr>
            </w:pPr>
            <w:r>
              <w:rPr>
                <w:rFonts w:hint="eastAsia" w:ascii="宋体" w:hAnsi="宋体" w:cs="宋体"/>
                <w:b/>
                <w:bCs/>
                <w:color w:val="000000"/>
                <w:sz w:val="28"/>
                <w:szCs w:val="28"/>
                <w:lang w:bidi="ar"/>
              </w:rPr>
              <w:t>设备名称</w:t>
            </w:r>
          </w:p>
        </w:tc>
        <w:tc>
          <w:tcPr>
            <w:tcW w:w="6599" w:type="dxa"/>
            <w:tcBorders>
              <w:top w:val="single" w:color="000000" w:sz="8" w:space="0"/>
              <w:left w:val="single" w:color="000000" w:sz="8" w:space="0"/>
              <w:bottom w:val="single" w:color="000000" w:sz="8" w:space="0"/>
              <w:right w:val="single" w:color="000000" w:sz="8" w:space="0"/>
            </w:tcBorders>
            <w:vAlign w:val="center"/>
          </w:tcPr>
          <w:p w14:paraId="6B75D15B">
            <w:pPr>
              <w:widowControl/>
              <w:jc w:val="center"/>
              <w:textAlignment w:val="center"/>
              <w:rPr>
                <w:rFonts w:hint="eastAsia" w:ascii="宋体" w:hAnsi="宋体" w:cs="宋体"/>
                <w:b/>
                <w:bCs/>
                <w:color w:val="000000"/>
                <w:sz w:val="28"/>
                <w:szCs w:val="28"/>
              </w:rPr>
            </w:pPr>
            <w:r>
              <w:rPr>
                <w:rFonts w:hint="eastAsia" w:ascii="宋体" w:hAnsi="宋体" w:cs="宋体"/>
                <w:b/>
                <w:bCs/>
                <w:color w:val="000000"/>
                <w:sz w:val="28"/>
                <w:szCs w:val="28"/>
                <w:lang w:bidi="ar"/>
              </w:rPr>
              <w:t>服务内容</w:t>
            </w:r>
          </w:p>
        </w:tc>
      </w:tr>
      <w:tr w14:paraId="1847F111">
        <w:tblPrEx>
          <w:tblCellMar>
            <w:top w:w="0" w:type="dxa"/>
            <w:left w:w="108" w:type="dxa"/>
            <w:bottom w:w="0" w:type="dxa"/>
            <w:right w:w="108" w:type="dxa"/>
          </w:tblCellMar>
        </w:tblPrEx>
        <w:trPr>
          <w:trHeight w:val="1000" w:hRule="atLeast"/>
        </w:trPr>
        <w:tc>
          <w:tcPr>
            <w:tcW w:w="826" w:type="dxa"/>
            <w:tcBorders>
              <w:top w:val="single" w:color="000000" w:sz="8" w:space="0"/>
              <w:left w:val="single" w:color="000000" w:sz="8" w:space="0"/>
              <w:bottom w:val="single" w:color="000000" w:sz="8" w:space="0"/>
              <w:right w:val="single" w:color="000000" w:sz="8" w:space="0"/>
            </w:tcBorders>
            <w:vAlign w:val="center"/>
          </w:tcPr>
          <w:p w14:paraId="6A8B5EA0">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lang w:bidi="ar"/>
              </w:rPr>
              <w:t>1</w:t>
            </w:r>
          </w:p>
        </w:tc>
        <w:tc>
          <w:tcPr>
            <w:tcW w:w="1673" w:type="dxa"/>
            <w:tcBorders>
              <w:top w:val="single" w:color="000000" w:sz="8" w:space="0"/>
              <w:left w:val="single" w:color="000000" w:sz="8" w:space="0"/>
              <w:bottom w:val="single" w:color="000000" w:sz="8" w:space="0"/>
              <w:right w:val="single" w:color="000000" w:sz="8" w:space="0"/>
            </w:tcBorders>
            <w:vAlign w:val="center"/>
          </w:tcPr>
          <w:p w14:paraId="58ECB254">
            <w:pPr>
              <w:widowControl/>
              <w:jc w:val="left"/>
              <w:textAlignment w:val="center"/>
              <w:rPr>
                <w:rFonts w:ascii="Arial" w:hAnsi="Arial" w:eastAsia="等线" w:cs="Arial"/>
                <w:color w:val="000000"/>
                <w:sz w:val="22"/>
                <w:szCs w:val="22"/>
              </w:rPr>
            </w:pPr>
            <w:r>
              <w:rPr>
                <w:rFonts w:hint="eastAsia" w:ascii="宋体" w:hAnsi="宋体" w:cs="宋体"/>
                <w:color w:val="000000"/>
                <w:sz w:val="24"/>
                <w:szCs w:val="24"/>
                <w:lang w:bidi="ar"/>
              </w:rPr>
              <w:t>65吋液晶网络一体机</w:t>
            </w:r>
          </w:p>
        </w:tc>
        <w:tc>
          <w:tcPr>
            <w:tcW w:w="6599" w:type="dxa"/>
            <w:tcBorders>
              <w:top w:val="single" w:color="000000" w:sz="8" w:space="0"/>
              <w:left w:val="single" w:color="000000" w:sz="8" w:space="0"/>
              <w:bottom w:val="single" w:color="000000" w:sz="8" w:space="0"/>
              <w:right w:val="single" w:color="000000" w:sz="8" w:space="0"/>
            </w:tcBorders>
            <w:vAlign w:val="center"/>
          </w:tcPr>
          <w:p w14:paraId="4B5F8D86">
            <w:pPr>
              <w:widowControl/>
              <w:numPr>
                <w:ilvl w:val="0"/>
                <w:numId w:val="3"/>
              </w:numPr>
              <w:jc w:val="left"/>
              <w:textAlignment w:val="center"/>
              <w:rPr>
                <w:rFonts w:hint="eastAsia" w:ascii="宋体" w:hAnsi="宋体" w:cs="宋体"/>
                <w:color w:val="000000"/>
                <w:sz w:val="22"/>
                <w:szCs w:val="22"/>
                <w:lang w:bidi="ar"/>
              </w:rPr>
            </w:pPr>
            <w:r>
              <w:rPr>
                <w:rFonts w:hint="eastAsia" w:ascii="宋体" w:hAnsi="宋体" w:cs="宋体"/>
                <w:color w:val="000000"/>
                <w:sz w:val="22"/>
                <w:szCs w:val="22"/>
                <w:lang w:bidi="ar"/>
              </w:rPr>
              <w:t>尺寸：≥65吋  安装方式：壁挂</w:t>
            </w:r>
          </w:p>
          <w:p w14:paraId="65D4B5FE">
            <w:pPr>
              <w:widowControl/>
              <w:numPr>
                <w:ilvl w:val="0"/>
                <w:numId w:val="3"/>
              </w:numPr>
              <w:jc w:val="left"/>
              <w:textAlignment w:val="center"/>
              <w:rPr>
                <w:rFonts w:hint="eastAsia" w:ascii="宋体" w:hAnsi="宋体" w:cs="宋体"/>
                <w:color w:val="000000"/>
                <w:sz w:val="22"/>
                <w:szCs w:val="22"/>
                <w:lang w:bidi="ar"/>
              </w:rPr>
            </w:pPr>
            <w:r>
              <w:rPr>
                <w:rFonts w:hint="eastAsia" w:ascii="宋体" w:hAnsi="宋体" w:cs="宋体"/>
                <w:color w:val="000000"/>
                <w:sz w:val="22"/>
                <w:szCs w:val="22"/>
                <w:lang w:bidi="ar"/>
              </w:rPr>
              <w:t>分辨率： ≥3840*2160   亮度（typ) ≥ 350cd/m2</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3、CPU： Cortex-A55，四核2.0GHz</w:t>
            </w:r>
          </w:p>
          <w:p w14:paraId="6DC0260E">
            <w:pPr>
              <w:widowControl/>
              <w:jc w:val="left"/>
              <w:textAlignment w:val="center"/>
              <w:rPr>
                <w:rFonts w:hint="eastAsia" w:ascii="宋体" w:hAnsi="宋体" w:cs="宋体"/>
                <w:color w:val="000000"/>
                <w:sz w:val="22"/>
                <w:szCs w:val="22"/>
                <w:lang w:bidi="ar"/>
              </w:rPr>
            </w:pPr>
            <w:r>
              <w:rPr>
                <w:rFonts w:hint="eastAsia" w:ascii="宋体" w:hAnsi="宋体" w:cs="宋体"/>
                <w:color w:val="000000"/>
                <w:sz w:val="22"/>
                <w:szCs w:val="22"/>
                <w:lang w:bidi="ar"/>
              </w:rPr>
              <w:t>4、操作系统： ≥安卓11.0系统</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5、存储：DDR ≥4GB  EMMC ≥32GB</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6、WIFI  USB*2、HDMI*1（输入） RJ45 一组 内部喇叭 5W*2</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7、可远程控制开关机，设备有终端授权软件，防病毒</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8、设备应支持 7*24 小时运行</w:t>
            </w:r>
          </w:p>
          <w:p w14:paraId="69CDE8C1">
            <w:pPr>
              <w:widowControl/>
              <w:numPr>
                <w:ilvl w:val="0"/>
                <w:numId w:val="4"/>
              </w:numPr>
              <w:jc w:val="left"/>
              <w:rPr>
                <w:rFonts w:hint="eastAsia" w:ascii="宋体" w:hAnsi="宋体" w:cs="宋体"/>
                <w:color w:val="000000"/>
                <w:sz w:val="22"/>
                <w:szCs w:val="22"/>
                <w:lang w:bidi="ar"/>
              </w:rPr>
            </w:pPr>
            <w:r>
              <w:rPr>
                <w:rFonts w:hint="eastAsia" w:ascii="宋体" w:hAnsi="宋体" w:cs="宋体"/>
                <w:color w:val="000000"/>
                <w:sz w:val="22"/>
                <w:szCs w:val="22"/>
                <w:lang w:bidi="ar"/>
              </w:rPr>
              <w:t>采用一体化设计，内含液晶显示模块、主控板、喇叭、多媒体显示软件。</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▲10.产品具有3C、节能认证及国家认可的第三方检测报告；</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功能：</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1.显示软件可以根据用户的需求灵活定制显示画面效果，字幕形式，颜色风格等。</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2.可显示科室名称、专家姓名、专家职称、出诊时间（日期、上午、下午）、费别、号量等。</w:t>
            </w:r>
          </w:p>
          <w:p w14:paraId="61155E53">
            <w:pPr>
              <w:widowControl/>
              <w:jc w:val="left"/>
              <w:rPr>
                <w:rFonts w:hint="eastAsia" w:ascii="宋体" w:hAnsi="宋体" w:cs="宋体"/>
                <w:color w:val="000000"/>
                <w:sz w:val="22"/>
                <w:szCs w:val="22"/>
              </w:rPr>
            </w:pPr>
            <w:r>
              <w:rPr>
                <w:rFonts w:hint="eastAsia" w:ascii="宋体" w:hAnsi="宋体" w:cs="宋体"/>
                <w:color w:val="000000"/>
                <w:sz w:val="22"/>
                <w:szCs w:val="22"/>
                <w:lang w:bidi="ar"/>
              </w:rPr>
              <w:t>3.可在屏幕下方滚动显示的礼貌用语或其它通知类即时文字信息等。</w:t>
            </w:r>
          </w:p>
        </w:tc>
      </w:tr>
      <w:tr w14:paraId="3D5BAC17">
        <w:tblPrEx>
          <w:tblCellMar>
            <w:top w:w="0" w:type="dxa"/>
            <w:left w:w="108" w:type="dxa"/>
            <w:bottom w:w="0" w:type="dxa"/>
            <w:right w:w="108" w:type="dxa"/>
          </w:tblCellMar>
        </w:tblPrEx>
        <w:trPr>
          <w:trHeight w:val="1000" w:hRule="atLeast"/>
        </w:trPr>
        <w:tc>
          <w:tcPr>
            <w:tcW w:w="826" w:type="dxa"/>
            <w:tcBorders>
              <w:top w:val="single" w:color="000000" w:sz="8" w:space="0"/>
              <w:left w:val="single" w:color="000000" w:sz="8" w:space="0"/>
              <w:bottom w:val="single" w:color="000000" w:sz="8" w:space="0"/>
              <w:right w:val="single" w:color="000000" w:sz="8" w:space="0"/>
            </w:tcBorders>
            <w:vAlign w:val="center"/>
          </w:tcPr>
          <w:p w14:paraId="0D1920C6">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lang w:bidi="ar"/>
              </w:rPr>
              <w:t>2</w:t>
            </w:r>
          </w:p>
        </w:tc>
        <w:tc>
          <w:tcPr>
            <w:tcW w:w="1673" w:type="dxa"/>
            <w:tcBorders>
              <w:top w:val="single" w:color="000000" w:sz="8" w:space="0"/>
              <w:left w:val="single" w:color="000000" w:sz="8" w:space="0"/>
              <w:bottom w:val="single" w:color="000000" w:sz="8" w:space="0"/>
              <w:right w:val="single" w:color="000000" w:sz="8" w:space="0"/>
            </w:tcBorders>
            <w:vAlign w:val="center"/>
          </w:tcPr>
          <w:p w14:paraId="2812978C">
            <w:pPr>
              <w:widowControl/>
              <w:jc w:val="left"/>
              <w:textAlignment w:val="center"/>
              <w:rPr>
                <w:rFonts w:ascii="Arial" w:hAnsi="Arial" w:eastAsia="等线" w:cs="Arial"/>
                <w:color w:val="000000"/>
                <w:sz w:val="22"/>
                <w:szCs w:val="22"/>
              </w:rPr>
            </w:pPr>
            <w:r>
              <w:rPr>
                <w:rFonts w:hint="eastAsia" w:ascii="宋体" w:hAnsi="宋体" w:cs="宋体"/>
                <w:color w:val="000000"/>
                <w:sz w:val="24"/>
                <w:szCs w:val="24"/>
                <w:lang w:bidi="ar"/>
              </w:rPr>
              <w:t>55吋液晶网络一体机</w:t>
            </w:r>
          </w:p>
        </w:tc>
        <w:tc>
          <w:tcPr>
            <w:tcW w:w="6599" w:type="dxa"/>
            <w:tcBorders>
              <w:top w:val="single" w:color="000000" w:sz="8" w:space="0"/>
              <w:left w:val="single" w:color="000000" w:sz="8" w:space="0"/>
              <w:bottom w:val="single" w:color="000000" w:sz="8" w:space="0"/>
              <w:right w:val="single" w:color="000000" w:sz="8" w:space="0"/>
            </w:tcBorders>
            <w:vAlign w:val="center"/>
          </w:tcPr>
          <w:p w14:paraId="3EF41349">
            <w:pPr>
              <w:widowControl/>
              <w:numPr>
                <w:ilvl w:val="0"/>
                <w:numId w:val="5"/>
              </w:numPr>
              <w:jc w:val="left"/>
              <w:textAlignment w:val="center"/>
              <w:rPr>
                <w:rFonts w:hint="eastAsia" w:ascii="宋体" w:hAnsi="宋体" w:cs="宋体"/>
                <w:color w:val="000000"/>
                <w:sz w:val="22"/>
                <w:szCs w:val="22"/>
                <w:lang w:bidi="ar"/>
              </w:rPr>
            </w:pPr>
            <w:r>
              <w:rPr>
                <w:rFonts w:hint="eastAsia" w:ascii="宋体" w:hAnsi="宋体" w:cs="宋体"/>
                <w:color w:val="000000"/>
                <w:sz w:val="22"/>
                <w:szCs w:val="22"/>
                <w:lang w:bidi="ar"/>
              </w:rPr>
              <w:t>尺寸：≥55吋  安装方式：壁挂</w:t>
            </w:r>
          </w:p>
          <w:p w14:paraId="2047DC98">
            <w:pPr>
              <w:widowControl/>
              <w:numPr>
                <w:ilvl w:val="0"/>
                <w:numId w:val="5"/>
              </w:numPr>
              <w:jc w:val="left"/>
              <w:textAlignment w:val="center"/>
              <w:rPr>
                <w:rFonts w:hint="eastAsia" w:ascii="宋体" w:hAnsi="宋体" w:cs="宋体"/>
                <w:color w:val="000000"/>
                <w:sz w:val="22"/>
                <w:szCs w:val="22"/>
                <w:lang w:bidi="ar"/>
              </w:rPr>
            </w:pPr>
            <w:r>
              <w:rPr>
                <w:rFonts w:hint="eastAsia" w:ascii="宋体" w:hAnsi="宋体" w:cs="宋体"/>
                <w:color w:val="000000"/>
                <w:sz w:val="22"/>
                <w:szCs w:val="22"/>
                <w:lang w:bidi="ar"/>
              </w:rPr>
              <w:t>分辨率： ≥3840*2160   亮度（typ) ≥ 350cd/m2</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3、CPU： Cortex-A55，四核2.0GHz</w:t>
            </w:r>
          </w:p>
          <w:p w14:paraId="31AACE98">
            <w:pPr>
              <w:widowControl/>
              <w:jc w:val="left"/>
              <w:textAlignment w:val="center"/>
              <w:rPr>
                <w:rFonts w:hint="eastAsia" w:ascii="宋体" w:hAnsi="宋体" w:cs="宋体"/>
                <w:color w:val="000000"/>
                <w:sz w:val="22"/>
                <w:szCs w:val="22"/>
                <w:lang w:bidi="ar"/>
              </w:rPr>
            </w:pPr>
            <w:r>
              <w:rPr>
                <w:rFonts w:hint="eastAsia" w:ascii="宋体" w:hAnsi="宋体" w:cs="宋体"/>
                <w:color w:val="000000"/>
                <w:sz w:val="22"/>
                <w:szCs w:val="22"/>
                <w:lang w:bidi="ar"/>
              </w:rPr>
              <w:t>4、操作系统： ≥安卓11.0系统</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5、存储：DDR ≥4GB  EMMC ≥32GB</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6、WIFI  USB*2、HDMI*1（输入） RJ45 一组 内部喇叭 5W*2</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7、可远程控制开关机，设备有终端授权软件，防病毒</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8、设备应支持 7*24 小时运行</w:t>
            </w:r>
          </w:p>
          <w:p w14:paraId="65AEB535">
            <w:pPr>
              <w:widowControl/>
              <w:numPr>
                <w:ilvl w:val="0"/>
                <w:numId w:val="4"/>
              </w:numPr>
              <w:jc w:val="left"/>
              <w:rPr>
                <w:rFonts w:hint="eastAsia" w:ascii="宋体" w:hAnsi="宋体" w:cs="宋体"/>
                <w:color w:val="000000"/>
                <w:sz w:val="22"/>
                <w:szCs w:val="22"/>
                <w:lang w:bidi="ar"/>
              </w:rPr>
            </w:pPr>
            <w:r>
              <w:rPr>
                <w:rFonts w:hint="eastAsia" w:ascii="宋体" w:hAnsi="宋体" w:cs="宋体"/>
                <w:color w:val="000000"/>
                <w:sz w:val="22"/>
                <w:szCs w:val="22"/>
                <w:lang w:bidi="ar"/>
              </w:rPr>
              <w:t>采用一体化设计，内含液晶显示模块、主控板、喇叭、多媒体显示软件。</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▲10.产品具有3C、节能认证及国家认可的第三方检测报告；</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功能：</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1.显示软件可以根据用户的需求灵活定制显示画面效果，字幕形式，颜色风格等。</w:t>
            </w:r>
            <w:r>
              <w:rPr>
                <w:rFonts w:hint="eastAsia" w:ascii="宋体" w:hAnsi="宋体" w:cs="宋体"/>
                <w:color w:val="000000"/>
                <w:sz w:val="22"/>
                <w:szCs w:val="22"/>
                <w:lang w:bidi="ar"/>
              </w:rPr>
              <w:br w:type="textWrapping"/>
            </w:r>
            <w:r>
              <w:rPr>
                <w:rFonts w:hint="eastAsia" w:ascii="宋体" w:hAnsi="宋体" w:cs="宋体"/>
                <w:color w:val="000000"/>
                <w:sz w:val="22"/>
                <w:szCs w:val="22"/>
                <w:lang w:bidi="ar"/>
              </w:rPr>
              <w:t>2.可显示科室名称、专家姓名、专家职称、出诊时间（日期、上午、下午）、费别、号量等。</w:t>
            </w:r>
          </w:p>
          <w:p w14:paraId="7B693602">
            <w:pPr>
              <w:widowControl/>
              <w:jc w:val="left"/>
              <w:rPr>
                <w:rFonts w:hint="eastAsia" w:ascii="宋体" w:hAnsi="宋体" w:cs="宋体"/>
                <w:color w:val="000000"/>
                <w:sz w:val="22"/>
                <w:szCs w:val="22"/>
              </w:rPr>
            </w:pPr>
            <w:r>
              <w:rPr>
                <w:rFonts w:hint="eastAsia" w:ascii="宋体" w:hAnsi="宋体" w:cs="宋体"/>
                <w:color w:val="000000"/>
                <w:sz w:val="22"/>
                <w:szCs w:val="22"/>
                <w:lang w:bidi="ar"/>
              </w:rPr>
              <w:t>3.可在屏幕下方滚动显示的礼貌用语或其它通知类即时文字信息等。</w:t>
            </w:r>
          </w:p>
        </w:tc>
      </w:tr>
      <w:tr w14:paraId="04D1FB3F">
        <w:tblPrEx>
          <w:tblCellMar>
            <w:top w:w="0" w:type="dxa"/>
            <w:left w:w="108" w:type="dxa"/>
            <w:bottom w:w="0" w:type="dxa"/>
            <w:right w:w="108" w:type="dxa"/>
          </w:tblCellMar>
        </w:tblPrEx>
        <w:trPr>
          <w:trHeight w:val="1000" w:hRule="atLeast"/>
        </w:trPr>
        <w:tc>
          <w:tcPr>
            <w:tcW w:w="826" w:type="dxa"/>
            <w:tcBorders>
              <w:top w:val="single" w:color="000000" w:sz="8" w:space="0"/>
              <w:left w:val="single" w:color="000000" w:sz="8" w:space="0"/>
              <w:bottom w:val="single" w:color="000000" w:sz="8" w:space="0"/>
              <w:right w:val="single" w:color="000000" w:sz="8" w:space="0"/>
            </w:tcBorders>
            <w:vAlign w:val="center"/>
          </w:tcPr>
          <w:p w14:paraId="6B553CB0">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lang w:bidi="ar"/>
              </w:rPr>
              <w:t>3</w:t>
            </w:r>
          </w:p>
        </w:tc>
        <w:tc>
          <w:tcPr>
            <w:tcW w:w="1673" w:type="dxa"/>
            <w:tcBorders>
              <w:top w:val="single" w:color="000000" w:sz="8" w:space="0"/>
              <w:left w:val="single" w:color="000000" w:sz="8" w:space="0"/>
              <w:bottom w:val="single" w:color="000000" w:sz="8" w:space="0"/>
              <w:right w:val="single" w:color="000000" w:sz="8" w:space="0"/>
            </w:tcBorders>
            <w:vAlign w:val="center"/>
          </w:tcPr>
          <w:p w14:paraId="74CA4C49">
            <w:pPr>
              <w:widowControl/>
              <w:jc w:val="left"/>
              <w:textAlignment w:val="center"/>
              <w:rPr>
                <w:rFonts w:ascii="Arial" w:hAnsi="Arial" w:eastAsia="等线" w:cs="Arial"/>
                <w:color w:val="000000"/>
                <w:sz w:val="22"/>
                <w:szCs w:val="22"/>
              </w:rPr>
            </w:pPr>
            <w:r>
              <w:rPr>
                <w:rFonts w:hint="eastAsia" w:ascii="宋体" w:hAnsi="宋体" w:cs="宋体"/>
                <w:color w:val="000000"/>
                <w:sz w:val="24"/>
                <w:szCs w:val="24"/>
                <w:lang w:bidi="ar"/>
              </w:rPr>
              <w:t>智慧数媒信息服务系统</w:t>
            </w:r>
          </w:p>
        </w:tc>
        <w:tc>
          <w:tcPr>
            <w:tcW w:w="6599" w:type="dxa"/>
            <w:tcBorders>
              <w:top w:val="single" w:color="000000" w:sz="8" w:space="0"/>
              <w:left w:val="single" w:color="000000" w:sz="8" w:space="0"/>
              <w:bottom w:val="single" w:color="000000" w:sz="8" w:space="0"/>
              <w:right w:val="single" w:color="000000" w:sz="8" w:space="0"/>
            </w:tcBorders>
            <w:vAlign w:val="center"/>
          </w:tcPr>
          <w:p w14:paraId="0610DBDA">
            <w:pPr>
              <w:widowControl/>
              <w:numPr>
                <w:ilvl w:val="0"/>
                <w:numId w:val="6"/>
              </w:numPr>
              <w:jc w:val="left"/>
              <w:rPr>
                <w:rFonts w:hint="eastAsia" w:ascii="宋体" w:hAnsi="宋体" w:cs="宋体"/>
                <w:color w:val="000000"/>
                <w:lang w:bidi="ar"/>
              </w:rPr>
            </w:pPr>
            <w:r>
              <w:rPr>
                <w:rFonts w:hint="eastAsia" w:ascii="宋体" w:hAnsi="宋体" w:cs="宋体"/>
                <w:color w:val="000000"/>
                <w:sz w:val="22"/>
                <w:szCs w:val="22"/>
                <w:lang w:bidi="ar"/>
              </w:rPr>
              <w:t>▲系统需支持部署在国产操作系统（麒麟、CentOS等）或windows 系统上，采用Browser/Server架构；需要提供国产操作系统认证证书。</w:t>
            </w:r>
          </w:p>
          <w:p w14:paraId="5D232AB6">
            <w:pPr>
              <w:widowControl/>
              <w:numPr>
                <w:ilvl w:val="0"/>
                <w:numId w:val="6"/>
              </w:numPr>
              <w:jc w:val="left"/>
              <w:rPr>
                <w:rFonts w:hint="eastAsia" w:ascii="宋体" w:hAnsi="宋体" w:cs="宋体"/>
                <w:color w:val="000000"/>
                <w:lang w:bidi="ar"/>
              </w:rPr>
            </w:pPr>
            <w:r>
              <w:rPr>
                <w:rFonts w:hint="eastAsia" w:ascii="宋体" w:hAnsi="宋体" w:cs="宋体"/>
                <w:color w:val="000000"/>
                <w:lang w:bidi="ar"/>
              </w:rPr>
              <w:t>具有联网和远程控制功能，支持跨路由控制，对终端可以远程管理和维护。支持局域网，分管理端和播放端，系统采用B/S架构。</w:t>
            </w:r>
          </w:p>
          <w:p w14:paraId="055BA3AD">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3、系统须支持不同显示屏幕显示不同页面内容的功能。满足医院不同科室显示不同的专家内容显示的需求。</w:t>
            </w:r>
          </w:p>
          <w:p w14:paraId="2184F04A">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4、系统须具有多级权限管理，各个科室可自行维护本科信息。</w:t>
            </w:r>
          </w:p>
          <w:p w14:paraId="17CBE199">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5、系统可自由的更改显示样式和内容，更改完成之后可以随时更新到指定显示屏上，同时不会影响其他显示屏的正常使用。</w:t>
            </w:r>
          </w:p>
          <w:p w14:paraId="361320C1">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6、考虑到会有各科自行维护，系统要求操作过程简单快捷，页面结构清晰，使操作者无论在什么地方都能很明确的知道下一步该如何操作。所有配置修改的效果可以直观的看到。</w:t>
            </w:r>
          </w:p>
          <w:p w14:paraId="1576CE5E">
            <w:pPr>
              <w:widowControl/>
              <w:jc w:val="left"/>
              <w:rPr>
                <w:rFonts w:hint="eastAsia" w:ascii="宋体" w:hAnsi="宋体" w:cs="宋体"/>
                <w:color w:val="000000"/>
                <w:lang w:bidi="ar"/>
              </w:rPr>
            </w:pPr>
            <w:r>
              <w:rPr>
                <w:rFonts w:hint="eastAsia" w:ascii="宋体" w:hAnsi="宋体" w:cs="宋体"/>
                <w:color w:val="000000"/>
                <w:lang w:bidi="ar"/>
              </w:rPr>
              <w:t>7、可分内容、分科室、按楼层进行健康宣教内容发布，宣教内容包括具体科室宣教、病区宣教、各类相关疾病及治疗方案宣教。</w:t>
            </w:r>
          </w:p>
          <w:p w14:paraId="7E24B5DC">
            <w:pPr>
              <w:widowControl/>
              <w:jc w:val="left"/>
              <w:rPr>
                <w:rFonts w:hint="eastAsia" w:ascii="宋体" w:hAnsi="宋体" w:cs="宋体"/>
                <w:color w:val="000000"/>
                <w:lang w:bidi="ar"/>
              </w:rPr>
            </w:pPr>
            <w:r>
              <w:rPr>
                <w:rFonts w:hint="eastAsia" w:ascii="宋体" w:hAnsi="宋体" w:cs="宋体"/>
                <w:color w:val="000000"/>
                <w:lang w:bidi="ar"/>
              </w:rPr>
              <w:t>8、支持滚动字幕形式的通知、新闻、介绍播放，支持调整字体大小、颜色、滚动速度、背景色、高度等属性；</w:t>
            </w:r>
          </w:p>
          <w:p w14:paraId="22292326">
            <w:pPr>
              <w:widowControl/>
              <w:jc w:val="left"/>
              <w:rPr>
                <w:rFonts w:hint="eastAsia" w:ascii="宋体" w:hAnsi="宋体" w:cs="宋体"/>
                <w:color w:val="000000"/>
                <w:lang w:bidi="ar"/>
              </w:rPr>
            </w:pPr>
            <w:r>
              <w:rPr>
                <w:rFonts w:hint="eastAsia" w:ascii="宋体" w:hAnsi="宋体" w:cs="宋体"/>
                <w:color w:val="000000"/>
                <w:lang w:bidi="ar"/>
              </w:rPr>
              <w:t>9、所有的播放、控制、管理通过管理软件实现，支持分区、分组、分级管理的灵活管理模式；支持循环播放、插播播放、后台切换，支持按自定义时长播放；支持以星期、日期来播放指定的内容；</w:t>
            </w:r>
          </w:p>
          <w:p w14:paraId="33398FE8">
            <w:pPr>
              <w:widowControl/>
              <w:jc w:val="left"/>
              <w:rPr>
                <w:rFonts w:hint="eastAsia" w:ascii="宋体" w:hAnsi="宋体" w:cs="宋体"/>
                <w:color w:val="000000"/>
                <w:lang w:bidi="ar"/>
              </w:rPr>
            </w:pPr>
            <w:r>
              <w:rPr>
                <w:rFonts w:hint="eastAsia" w:ascii="宋体" w:hAnsi="宋体" w:cs="宋体"/>
                <w:color w:val="000000"/>
                <w:lang w:bidi="ar"/>
              </w:rPr>
              <w:t>10、可播放各种格式的图片、文档、FLASH、网页及音视频。支持同时叠加多个元素同时播放。</w:t>
            </w:r>
          </w:p>
          <w:p w14:paraId="3A23DB96">
            <w:pPr>
              <w:widowControl/>
              <w:jc w:val="left"/>
              <w:rPr>
                <w:rFonts w:hint="eastAsia" w:ascii="宋体" w:hAnsi="宋体" w:cs="宋体"/>
                <w:color w:val="000000"/>
                <w:lang w:bidi="ar"/>
              </w:rPr>
            </w:pPr>
            <w:r>
              <w:rPr>
                <w:rFonts w:hint="eastAsia" w:ascii="宋体" w:hAnsi="宋体" w:cs="宋体"/>
                <w:color w:val="000000"/>
                <w:lang w:bidi="ar"/>
              </w:rPr>
              <w:t>11、具有紧急信息和临时信息的插入播放功能，紧急信息或临时播放完毕能够自动切换到原播放节目。</w:t>
            </w:r>
          </w:p>
          <w:p w14:paraId="7409F981">
            <w:pPr>
              <w:widowControl/>
              <w:jc w:val="left"/>
              <w:rPr>
                <w:rFonts w:hint="eastAsia" w:ascii="宋体" w:hAnsi="宋体" w:cs="宋体"/>
                <w:color w:val="000000"/>
                <w:lang w:bidi="ar"/>
              </w:rPr>
            </w:pPr>
            <w:r>
              <w:rPr>
                <w:rFonts w:hint="eastAsia" w:ascii="宋体" w:hAnsi="宋体" w:cs="宋体"/>
                <w:color w:val="000000"/>
                <w:lang w:bidi="ar"/>
              </w:rPr>
              <w:t>12、内容的下载、解析和播放都是通过网络进行,不需要人工干预。</w:t>
            </w:r>
          </w:p>
          <w:p w14:paraId="62EF7E4F">
            <w:pPr>
              <w:widowControl/>
              <w:jc w:val="left"/>
              <w:rPr>
                <w:rFonts w:hint="eastAsia" w:ascii="宋体" w:hAnsi="宋体" w:cs="宋体"/>
                <w:color w:val="000000"/>
                <w:lang w:bidi="ar"/>
              </w:rPr>
            </w:pPr>
            <w:r>
              <w:rPr>
                <w:rFonts w:hint="eastAsia" w:ascii="宋体" w:hAnsi="宋体" w:cs="宋体"/>
                <w:color w:val="000000"/>
                <w:lang w:bidi="ar"/>
              </w:rPr>
              <w:t>13、可以在主控端控制和调节各个显示终端的声音大小。</w:t>
            </w:r>
          </w:p>
          <w:p w14:paraId="6F9AB771">
            <w:pPr>
              <w:widowControl/>
              <w:jc w:val="left"/>
            </w:pPr>
            <w:r>
              <w:rPr>
                <w:rFonts w:hint="eastAsia" w:ascii="宋体" w:hAnsi="宋体" w:cs="宋体"/>
                <w:color w:val="000000"/>
                <w:sz w:val="22"/>
                <w:szCs w:val="22"/>
                <w:lang w:bidi="ar"/>
              </w:rPr>
              <w:t>▲</w:t>
            </w:r>
            <w:r>
              <w:rPr>
                <w:rFonts w:hint="eastAsia" w:ascii="宋体" w:hAnsi="宋体" w:cs="宋体"/>
                <w:color w:val="000000"/>
                <w:lang w:bidi="ar"/>
              </w:rPr>
              <w:t>14、系统要求能将医院现有windows系统的显示设备并入系统平台统一管理。</w:t>
            </w:r>
          </w:p>
          <w:p w14:paraId="19E51CB4">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▲15、界面可以完全根据医院的需求进行定制开发，根据我院提供的接口进行数据显示，承诺可提供不少于5种界面显示。</w:t>
            </w:r>
          </w:p>
          <w:p w14:paraId="58FD4C29">
            <w:pPr>
              <w:widowControl/>
              <w:jc w:val="left"/>
              <w:rPr>
                <w:rFonts w:hint="eastAsia" w:ascii="宋体" w:hAnsi="宋体" w:cs="宋体"/>
                <w:color w:val="000000"/>
                <w:sz w:val="22"/>
                <w:szCs w:val="22"/>
              </w:rPr>
            </w:pPr>
            <w:r>
              <w:rPr>
                <w:rFonts w:hint="eastAsia" w:ascii="宋体" w:hAnsi="宋体" w:cs="宋体"/>
                <w:color w:val="000000"/>
                <w:lang w:bidi="ar"/>
              </w:rPr>
              <w:t>16、软件完全自主研发，具有自主知识产权，能提供著作权、检测报告等相关证明。</w:t>
            </w:r>
          </w:p>
        </w:tc>
      </w:tr>
      <w:tr w14:paraId="594186C8">
        <w:tblPrEx>
          <w:tblCellMar>
            <w:top w:w="0" w:type="dxa"/>
            <w:left w:w="108" w:type="dxa"/>
            <w:bottom w:w="0" w:type="dxa"/>
            <w:right w:w="108" w:type="dxa"/>
          </w:tblCellMar>
        </w:tblPrEx>
        <w:trPr>
          <w:trHeight w:val="1000" w:hRule="atLeast"/>
        </w:trPr>
        <w:tc>
          <w:tcPr>
            <w:tcW w:w="826" w:type="dxa"/>
            <w:tcBorders>
              <w:top w:val="single" w:color="000000" w:sz="8" w:space="0"/>
              <w:left w:val="single" w:color="000000" w:sz="8" w:space="0"/>
              <w:bottom w:val="single" w:color="000000" w:sz="8" w:space="0"/>
              <w:right w:val="single" w:color="000000" w:sz="8" w:space="0"/>
            </w:tcBorders>
            <w:vAlign w:val="center"/>
          </w:tcPr>
          <w:p w14:paraId="0F55F314">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lang w:bidi="ar"/>
              </w:rPr>
              <w:t>4</w:t>
            </w:r>
          </w:p>
        </w:tc>
        <w:tc>
          <w:tcPr>
            <w:tcW w:w="1673" w:type="dxa"/>
            <w:tcBorders>
              <w:top w:val="single" w:color="000000" w:sz="8" w:space="0"/>
              <w:left w:val="single" w:color="000000" w:sz="8" w:space="0"/>
              <w:bottom w:val="single" w:color="000000" w:sz="8" w:space="0"/>
              <w:right w:val="single" w:color="000000" w:sz="8" w:space="0"/>
            </w:tcBorders>
            <w:vAlign w:val="center"/>
          </w:tcPr>
          <w:p w14:paraId="470D7082">
            <w:pPr>
              <w:widowControl/>
              <w:jc w:val="left"/>
              <w:textAlignment w:val="center"/>
              <w:rPr>
                <w:rFonts w:ascii="Arial" w:hAnsi="Arial" w:eastAsia="等线" w:cs="Arial"/>
                <w:color w:val="000000"/>
                <w:sz w:val="22"/>
                <w:szCs w:val="22"/>
              </w:rPr>
            </w:pPr>
            <w:r>
              <w:rPr>
                <w:rFonts w:hint="eastAsia" w:ascii="宋体" w:hAnsi="宋体" w:cs="宋体"/>
                <w:color w:val="000000"/>
                <w:sz w:val="24"/>
                <w:szCs w:val="24"/>
                <w:lang w:bidi="ar"/>
              </w:rPr>
              <w:t>信息显示客户端软件</w:t>
            </w:r>
          </w:p>
        </w:tc>
        <w:tc>
          <w:tcPr>
            <w:tcW w:w="6599" w:type="dxa"/>
            <w:tcBorders>
              <w:top w:val="single" w:color="000000" w:sz="8" w:space="0"/>
              <w:left w:val="single" w:color="000000" w:sz="8" w:space="0"/>
              <w:bottom w:val="single" w:color="000000" w:sz="8" w:space="0"/>
              <w:right w:val="single" w:color="000000" w:sz="8" w:space="0"/>
            </w:tcBorders>
            <w:vAlign w:val="center"/>
          </w:tcPr>
          <w:p w14:paraId="1D28238B">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1.安装在各个尺寸一体机上，解决设备管理、监测、安全，防止攻击、防止内容非法下载、防止网络盗链。</w:t>
            </w:r>
          </w:p>
          <w:p w14:paraId="5ACA950F">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2.支持设备与管理服务器的通讯，实现终端版本、设备类型、终端包的集中管控。</w:t>
            </w:r>
          </w:p>
          <w:p w14:paraId="24228C15">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3.支持通过管理页面远程设置、更新。</w:t>
            </w:r>
          </w:p>
          <w:p w14:paraId="63B7664A">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▲4.具有“信息显示客户端软件”软件著作权；</w:t>
            </w:r>
          </w:p>
          <w:p w14:paraId="1008EFA9">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5.通过网络接收来自管理平台分发的媒体元素，并按照设定的显示格式、播放任务排程的要求进行解码并输出至显示设备上。</w:t>
            </w:r>
          </w:p>
          <w:p w14:paraId="2889160F">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6.支持接收平台转发来的紧急信息、临时信息的即时插播功能，待插播任务播放完毕后无需操作可自动切换回原有任务当中。</w:t>
            </w:r>
          </w:p>
          <w:p w14:paraId="3912193F">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7.终端应用具备系统最高权限，设备开机后自动进入应用并切换到当前播放任务中，无需手动操作；退出终端应用需权限验证，通过后方可退出。</w:t>
            </w:r>
          </w:p>
          <w:p w14:paraId="4E75789E">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8.除支持常规播出任务外，终端应支持扩展交互类任务的播出。</w:t>
            </w:r>
          </w:p>
          <w:p w14:paraId="7846FC0F">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9.终端应用支持后台统一的设备管理、监测、安全防护，防止攻击、防止内容非法下载、防止网络盗链。</w:t>
            </w:r>
          </w:p>
          <w:p w14:paraId="28002BD6">
            <w:pPr>
              <w:widowControl/>
              <w:jc w:val="left"/>
              <w:rPr>
                <w:rFonts w:hint="eastAsia" w:ascii="宋体" w:hAnsi="宋体" w:cs="宋体"/>
                <w:color w:val="000000"/>
                <w:sz w:val="22"/>
                <w:szCs w:val="22"/>
                <w:lang w:bidi="ar"/>
              </w:rPr>
            </w:pPr>
            <w:r>
              <w:rPr>
                <w:rFonts w:hint="eastAsia" w:ascii="宋体" w:hAnsi="宋体" w:cs="宋体"/>
                <w:color w:val="000000"/>
                <w:sz w:val="22"/>
                <w:szCs w:val="22"/>
                <w:lang w:bidi="ar"/>
              </w:rPr>
              <w:t>10.支持设备与管理服务器的通讯，实现终端版本、设备类型、终端包的集中管控。</w:t>
            </w:r>
          </w:p>
          <w:p w14:paraId="639449AE">
            <w:pPr>
              <w:widowControl/>
              <w:jc w:val="left"/>
              <w:rPr>
                <w:rFonts w:hint="eastAsia" w:ascii="宋体" w:hAnsi="宋体" w:cs="宋体"/>
                <w:color w:val="000000"/>
                <w:sz w:val="22"/>
                <w:szCs w:val="22"/>
              </w:rPr>
            </w:pPr>
            <w:r>
              <w:rPr>
                <w:rFonts w:hint="eastAsia" w:ascii="宋体" w:hAnsi="宋体" w:cs="宋体"/>
                <w:color w:val="000000"/>
                <w:sz w:val="22"/>
                <w:szCs w:val="22"/>
                <w:lang w:bidi="ar"/>
              </w:rPr>
              <w:t>11.支持通过管理页面远程设置、更新。</w:t>
            </w:r>
          </w:p>
        </w:tc>
      </w:tr>
    </w:tbl>
    <w:p w14:paraId="09A4EC19">
      <w:pPr>
        <w:widowControl/>
        <w:spacing w:line="360" w:lineRule="auto"/>
        <w:ind w:firstLine="420" w:firstLineChars="200"/>
        <w:contextualSpacing/>
        <w:rPr>
          <w:rFonts w:hint="eastAsia" w:ascii="宋体" w:hAnsi="宋体" w:cs="宋体"/>
        </w:rPr>
      </w:pPr>
      <w:r>
        <w:rPr>
          <w:rFonts w:hint="eastAsia" w:ascii="宋体" w:hAnsi="宋体" w:cs="宋体"/>
        </w:rPr>
        <w:t xml:space="preserve">7. </w:t>
      </w:r>
      <w:r>
        <w:rPr>
          <w:rFonts w:hint="eastAsia" w:ascii="宋体" w:hAnsi="宋体" w:cs="宋体"/>
          <w:lang w:eastAsia="zh-CN"/>
        </w:rPr>
        <w:t>响应单位</w:t>
      </w:r>
      <w:r>
        <w:rPr>
          <w:rFonts w:hint="eastAsia" w:ascii="宋体" w:hAnsi="宋体" w:cs="宋体"/>
        </w:rPr>
        <w:t>应根据采购人的需要，在规定的时间内，保证质量完成投标所提供设备的使用规划、安装、调试及投入运行。包括但不限于以下工作：</w:t>
      </w:r>
    </w:p>
    <w:p w14:paraId="00AEAE93">
      <w:pPr>
        <w:spacing w:line="360" w:lineRule="auto"/>
        <w:ind w:firstLine="480"/>
        <w:rPr>
          <w:rFonts w:hint="eastAsia" w:ascii="宋体" w:hAnsi="宋体" w:cs="宋体"/>
        </w:rPr>
      </w:pPr>
      <w:r>
        <w:rPr>
          <w:rFonts w:hint="eastAsia" w:ascii="宋体" w:hAnsi="宋体" w:cs="宋体"/>
        </w:rPr>
        <w:t>（1）人员安排</w:t>
      </w:r>
    </w:p>
    <w:p w14:paraId="4F8A7B24">
      <w:pPr>
        <w:spacing w:line="360" w:lineRule="auto"/>
        <w:ind w:firstLine="480"/>
        <w:rPr>
          <w:rFonts w:hint="eastAsia" w:ascii="宋体" w:hAnsi="宋体" w:cs="宋体"/>
        </w:rPr>
      </w:pPr>
      <w:r>
        <w:rPr>
          <w:rFonts w:hint="eastAsia" w:ascii="宋体" w:hAnsi="宋体" w:cs="宋体"/>
          <w:lang w:eastAsia="zh-CN"/>
        </w:rPr>
        <w:t>响应单位</w:t>
      </w:r>
      <w:r>
        <w:rPr>
          <w:rFonts w:hint="eastAsia" w:ascii="宋体" w:hAnsi="宋体" w:cs="宋体"/>
        </w:rPr>
        <w:t>应安排原厂工程师进场进行部署工作,</w:t>
      </w:r>
      <w:r>
        <w:rPr>
          <w:rFonts w:hint="eastAsia" w:ascii="宋体" w:hAnsi="宋体" w:cs="宋体"/>
          <w:lang w:eastAsia="zh-CN"/>
        </w:rPr>
        <w:t>响应单位</w:t>
      </w:r>
      <w:r>
        <w:rPr>
          <w:rFonts w:hint="eastAsia" w:ascii="宋体" w:hAnsi="宋体" w:cs="宋体"/>
        </w:rPr>
        <w:t>必须积极主动与本项目的相关科室合作，并服从采购人的协调。</w:t>
      </w:r>
    </w:p>
    <w:p w14:paraId="634A0BB5">
      <w:pPr>
        <w:spacing w:line="360" w:lineRule="auto"/>
        <w:ind w:firstLine="480"/>
        <w:rPr>
          <w:rFonts w:hint="eastAsia" w:ascii="宋体" w:hAnsi="宋体" w:cs="宋体"/>
        </w:rPr>
      </w:pPr>
      <w:r>
        <w:rPr>
          <w:rFonts w:hint="eastAsia" w:ascii="宋体" w:hAnsi="宋体" w:cs="宋体"/>
        </w:rPr>
        <w:t>（2）规划与实施方案制定</w:t>
      </w:r>
    </w:p>
    <w:p w14:paraId="0A37F2CE">
      <w:pPr>
        <w:spacing w:line="360" w:lineRule="auto"/>
        <w:ind w:firstLine="480"/>
        <w:rPr>
          <w:rFonts w:hint="eastAsia" w:ascii="宋体" w:hAnsi="宋体" w:cs="宋体"/>
        </w:rPr>
      </w:pPr>
      <w:r>
        <w:rPr>
          <w:rFonts w:hint="eastAsia" w:ascii="宋体" w:hAnsi="宋体" w:cs="宋体"/>
          <w:lang w:eastAsia="zh-CN"/>
        </w:rPr>
        <w:t>响应单位</w:t>
      </w:r>
      <w:r>
        <w:rPr>
          <w:rFonts w:hint="eastAsia" w:ascii="宋体" w:hAnsi="宋体" w:cs="宋体"/>
        </w:rPr>
        <w:t>需要在项目实施前对医院现场进行充分调研，根据现场环境和采购人总体规划，充分考虑功能布局，业务部署等因素，合理规划设备部署位置。</w:t>
      </w:r>
    </w:p>
    <w:p w14:paraId="54CE1BD3">
      <w:pPr>
        <w:spacing w:line="360" w:lineRule="auto"/>
        <w:ind w:firstLine="480"/>
        <w:rPr>
          <w:rFonts w:hint="eastAsia" w:ascii="宋体" w:hAnsi="宋体" w:cs="宋体"/>
        </w:rPr>
      </w:pPr>
      <w:r>
        <w:rPr>
          <w:rFonts w:hint="eastAsia" w:ascii="宋体" w:hAnsi="宋体" w:cs="宋体"/>
          <w:lang w:eastAsia="zh-CN"/>
        </w:rPr>
        <w:t>响应单位</w:t>
      </w:r>
      <w:r>
        <w:rPr>
          <w:rFonts w:hint="eastAsia" w:ascii="宋体" w:hAnsi="宋体" w:cs="宋体"/>
        </w:rPr>
        <w:t>应在迁移前提供详细的实施方案，并提交采购人认可。按照实施方案，在收到采购人通知后，规定时间内完成设备上架、安装、联网、配置、调试等工作，并配合上层业务进行设备配置的调整优化，确保业务的顺利实施。</w:t>
      </w:r>
    </w:p>
    <w:p w14:paraId="72AE32E1">
      <w:pPr>
        <w:spacing w:line="360" w:lineRule="auto"/>
        <w:ind w:firstLine="480"/>
        <w:rPr>
          <w:rFonts w:hint="eastAsia" w:ascii="宋体" w:hAnsi="宋体" w:cs="宋体"/>
        </w:rPr>
      </w:pPr>
      <w:r>
        <w:rPr>
          <w:rFonts w:hint="eastAsia" w:ascii="宋体" w:hAnsi="宋体" w:cs="宋体"/>
          <w:lang w:eastAsia="zh-CN"/>
        </w:rPr>
        <w:t>响应单位</w:t>
      </w:r>
      <w:r>
        <w:rPr>
          <w:rFonts w:hint="eastAsia" w:ascii="宋体" w:hAnsi="宋体" w:cs="宋体"/>
        </w:rPr>
        <w:t>应在施工前提供详细的实施方案（包括安装部署方案、业务支撑方案、应急回退方案），并提交采购人认可。</w:t>
      </w:r>
    </w:p>
    <w:p w14:paraId="6657A880">
      <w:pPr>
        <w:spacing w:line="360" w:lineRule="auto"/>
        <w:ind w:firstLine="480"/>
        <w:rPr>
          <w:rFonts w:hint="eastAsia" w:ascii="宋体" w:hAnsi="宋体" w:cs="宋体"/>
        </w:rPr>
      </w:pPr>
      <w:r>
        <w:rPr>
          <w:rFonts w:hint="eastAsia" w:ascii="宋体" w:hAnsi="宋体" w:cs="宋体"/>
        </w:rPr>
        <w:t>8.项目实施</w:t>
      </w:r>
    </w:p>
    <w:p w14:paraId="72344B5C">
      <w:pPr>
        <w:spacing w:line="360" w:lineRule="auto"/>
        <w:ind w:firstLine="480"/>
        <w:rPr>
          <w:rFonts w:hint="eastAsia" w:ascii="宋体" w:hAnsi="宋体" w:cs="宋体"/>
        </w:rPr>
      </w:pPr>
      <w:r>
        <w:rPr>
          <w:rFonts w:hint="eastAsia" w:ascii="宋体" w:hAnsi="宋体" w:cs="宋体"/>
        </w:rPr>
        <w:t>根据采购人规划，须要求投标单位具有有效期内ISO9001质量管理体系认证证书、ISO 14001环境管理体系认证证书、ISO 45001职业健康安全管理体系认证证书。一切操作须符合采购人现场要求，注意环境卫生及操作安全。</w:t>
      </w:r>
    </w:p>
    <w:p w14:paraId="393F4F0E">
      <w:pPr>
        <w:spacing w:line="360" w:lineRule="auto"/>
        <w:ind w:firstLine="480"/>
        <w:rPr>
          <w:rFonts w:hint="eastAsia" w:ascii="宋体" w:hAnsi="宋体" w:cs="宋体"/>
        </w:rPr>
      </w:pPr>
      <w:r>
        <w:rPr>
          <w:rFonts w:hint="eastAsia" w:ascii="宋体" w:hAnsi="宋体" w:cs="宋体"/>
        </w:rPr>
        <w:t>9.运维要求</w:t>
      </w:r>
    </w:p>
    <w:p w14:paraId="1AFEE040">
      <w:pPr>
        <w:spacing w:line="360" w:lineRule="auto"/>
        <w:ind w:firstLine="480"/>
        <w:rPr>
          <w:rFonts w:hint="eastAsia" w:ascii="宋体" w:hAnsi="宋体" w:cs="宋体"/>
        </w:rPr>
      </w:pPr>
      <w:r>
        <w:rPr>
          <w:rFonts w:hint="eastAsia" w:ascii="宋体" w:hAnsi="宋体" w:cs="宋体"/>
        </w:rPr>
        <w:t>（1）</w:t>
      </w:r>
      <w:r>
        <w:rPr>
          <w:rFonts w:hint="eastAsia" w:ascii="宋体" w:hAnsi="宋体" w:cs="宋体"/>
          <w:lang w:eastAsia="zh-CN"/>
        </w:rPr>
        <w:t>响应单位</w:t>
      </w:r>
      <w:r>
        <w:rPr>
          <w:rFonts w:hint="eastAsia" w:ascii="宋体" w:hAnsi="宋体" w:cs="宋体"/>
        </w:rPr>
        <w:t>针对本项目所投产品应提供完整的运维方案。定期对所投设备进行巡检并提供巡检报告，发现故障或接到采购人保障通知后，应按照故障处理要求迅速进行处置。</w:t>
      </w:r>
      <w:r>
        <w:rPr>
          <w:rFonts w:hint="eastAsia" w:ascii="宋体" w:hAnsi="宋体" w:cs="宋体"/>
          <w:lang w:eastAsia="zh-CN"/>
        </w:rPr>
        <w:t>响应单位</w:t>
      </w:r>
      <w:r>
        <w:rPr>
          <w:rFonts w:hint="eastAsia" w:ascii="宋体" w:hAnsi="宋体" w:cs="宋体"/>
        </w:rPr>
        <w:t>提供每季度至少一次上门巡检（包括设备、系统），并出具巡检报告。</w:t>
      </w:r>
    </w:p>
    <w:p w14:paraId="7F5C83D2">
      <w:pPr>
        <w:spacing w:line="360" w:lineRule="auto"/>
        <w:ind w:firstLine="480"/>
        <w:rPr>
          <w:rFonts w:hint="eastAsia" w:ascii="宋体" w:hAnsi="宋体" w:cs="宋体"/>
        </w:rPr>
      </w:pPr>
      <w:r>
        <w:rPr>
          <w:rFonts w:hint="eastAsia" w:ascii="宋体" w:hAnsi="宋体" w:cs="宋体"/>
        </w:rPr>
        <w:t>（2）日常巡检</w:t>
      </w:r>
    </w:p>
    <w:p w14:paraId="77C33225">
      <w:pPr>
        <w:spacing w:line="360" w:lineRule="auto"/>
        <w:ind w:firstLine="480"/>
        <w:rPr>
          <w:rFonts w:hint="eastAsia" w:ascii="宋体" w:hAnsi="宋体" w:cs="宋体"/>
        </w:rPr>
      </w:pPr>
      <w:r>
        <w:rPr>
          <w:rFonts w:hint="eastAsia" w:ascii="宋体" w:hAnsi="宋体" w:cs="宋体"/>
          <w:lang w:eastAsia="zh-CN"/>
        </w:rPr>
        <w:t>响应单位</w:t>
      </w:r>
      <w:r>
        <w:rPr>
          <w:rFonts w:hint="eastAsia" w:ascii="宋体" w:hAnsi="宋体" w:cs="宋体"/>
        </w:rPr>
        <w:t>按照采购人规定的流程定期对采购的设备进行巡检，包括日巡检、月巡检、半年度巡检、年度巡检及采购人要求的巡检计划。</w:t>
      </w:r>
    </w:p>
    <w:p w14:paraId="09E8531B">
      <w:pPr>
        <w:spacing w:line="360" w:lineRule="auto"/>
        <w:ind w:firstLine="480"/>
        <w:rPr>
          <w:rFonts w:hint="eastAsia" w:ascii="宋体" w:hAnsi="宋体" w:cs="宋体"/>
        </w:rPr>
      </w:pPr>
      <w:r>
        <w:rPr>
          <w:rFonts w:hint="eastAsia" w:ascii="宋体" w:hAnsi="宋体" w:cs="宋体"/>
        </w:rPr>
        <w:t>（3）服务响应及故障处理</w:t>
      </w:r>
    </w:p>
    <w:p w14:paraId="1318BE87">
      <w:pPr>
        <w:spacing w:line="360" w:lineRule="auto"/>
        <w:ind w:firstLine="480"/>
        <w:rPr>
          <w:rFonts w:hint="eastAsia" w:ascii="宋体" w:hAnsi="宋体" w:cs="宋体"/>
        </w:rPr>
      </w:pPr>
      <w:r>
        <w:rPr>
          <w:rFonts w:hint="eastAsia" w:ascii="宋体" w:hAnsi="宋体" w:cs="宋体"/>
        </w:rPr>
        <w:t>服务响应及维修。</w:t>
      </w:r>
      <w:r>
        <w:rPr>
          <w:rFonts w:hint="eastAsia" w:ascii="宋体" w:hAnsi="宋体" w:cs="宋体"/>
          <w:lang w:eastAsia="zh-CN"/>
        </w:rPr>
        <w:t>响应单位</w:t>
      </w:r>
      <w:r>
        <w:rPr>
          <w:rFonts w:hint="eastAsia" w:ascii="宋体" w:hAnsi="宋体" w:cs="宋体"/>
        </w:rPr>
        <w:t>提供7*24小时的技术支持和服务。15分钟内对采购人所提出的需求做出响应，1小时内到达现场，承诺在规定的时间内完成维修。</w:t>
      </w:r>
    </w:p>
    <w:p w14:paraId="18E98FCF">
      <w:pPr>
        <w:spacing w:line="360" w:lineRule="auto"/>
        <w:ind w:firstLine="480"/>
        <w:rPr>
          <w:rFonts w:hint="eastAsia" w:ascii="宋体" w:hAnsi="宋体" w:cs="宋体"/>
        </w:rPr>
      </w:pPr>
      <w:r>
        <w:rPr>
          <w:rFonts w:hint="eastAsia" w:ascii="宋体" w:hAnsi="宋体" w:cs="宋体"/>
        </w:rPr>
        <w:t>重大、严重故障连续发生一个月内两次以上的，除提交故障处置报告以外还应提交问题分析报告，深度分析故障产生的原因，并提出预防性改善建议。</w:t>
      </w:r>
    </w:p>
    <w:p w14:paraId="0CC15EA8">
      <w:pPr>
        <w:spacing w:line="360" w:lineRule="auto"/>
        <w:ind w:firstLine="480"/>
        <w:rPr>
          <w:rFonts w:hint="eastAsia" w:ascii="宋体" w:hAnsi="宋体" w:cs="宋体"/>
        </w:rPr>
      </w:pPr>
      <w:r>
        <w:rPr>
          <w:rFonts w:hint="eastAsia" w:ascii="宋体" w:hAnsi="宋体" w:cs="宋体"/>
        </w:rPr>
        <w:t>如因特殊原因无法在指定处置时间内修复故障的，</w:t>
      </w:r>
      <w:r>
        <w:rPr>
          <w:rFonts w:hint="eastAsia" w:ascii="宋体" w:hAnsi="宋体" w:cs="宋体"/>
          <w:lang w:eastAsia="zh-CN"/>
        </w:rPr>
        <w:t>响应单位</w:t>
      </w:r>
      <w:r>
        <w:rPr>
          <w:rFonts w:hint="eastAsia" w:ascii="宋体" w:hAnsi="宋体" w:cs="宋体"/>
        </w:rPr>
        <w:t>需将故障原因、过渡方案和恢复计划等在2小时内书面上报，并在此期间，免费提供备机备件，积极配合相关应用开发商实施过渡方案，全力保证应用的不间断，临时过渡方案产生的人力成本、时间成本、社会经济损失等由</w:t>
      </w:r>
      <w:r>
        <w:rPr>
          <w:rFonts w:hint="eastAsia" w:ascii="宋体" w:hAnsi="宋体" w:cs="宋体"/>
          <w:lang w:eastAsia="zh-CN"/>
        </w:rPr>
        <w:t>响应单位</w:t>
      </w:r>
      <w:r>
        <w:rPr>
          <w:rFonts w:hint="eastAsia" w:ascii="宋体" w:hAnsi="宋体" w:cs="宋体"/>
        </w:rPr>
        <w:t>承担。</w:t>
      </w:r>
    </w:p>
    <w:p w14:paraId="49D0013A">
      <w:pPr>
        <w:spacing w:line="360" w:lineRule="auto"/>
        <w:ind w:firstLine="480"/>
        <w:rPr>
          <w:rFonts w:hint="eastAsia" w:ascii="宋体" w:hAnsi="宋体" w:cs="宋体"/>
        </w:rPr>
      </w:pPr>
      <w:r>
        <w:rPr>
          <w:rFonts w:hint="eastAsia" w:ascii="宋体" w:hAnsi="宋体" w:cs="宋体"/>
        </w:rPr>
        <w:t>在重大、严重故障或者采购人要求提供故障报告的故障处理结束后24小时内应向采购人提出书面故障处理报告。</w:t>
      </w:r>
    </w:p>
    <w:p w14:paraId="6CD35D2C">
      <w:pPr>
        <w:spacing w:line="360" w:lineRule="auto"/>
        <w:ind w:firstLine="480"/>
        <w:rPr>
          <w:rFonts w:hint="eastAsia" w:ascii="宋体" w:hAnsi="宋体" w:cs="宋体"/>
        </w:rPr>
      </w:pPr>
      <w:r>
        <w:rPr>
          <w:rFonts w:hint="eastAsia" w:ascii="宋体" w:hAnsi="宋体" w:cs="宋体"/>
          <w:lang w:eastAsia="zh-CN"/>
        </w:rPr>
        <w:t>响应单位</w:t>
      </w:r>
      <w:r>
        <w:rPr>
          <w:rFonts w:hint="eastAsia" w:ascii="宋体" w:hAnsi="宋体" w:cs="宋体"/>
        </w:rPr>
        <w:t>在本次所维保设备发生故障无法排除的情况下，</w:t>
      </w:r>
      <w:r>
        <w:rPr>
          <w:rFonts w:hint="eastAsia" w:ascii="宋体" w:hAnsi="宋体" w:cs="宋体"/>
          <w:lang w:eastAsia="zh-CN"/>
        </w:rPr>
        <w:t>响应单位</w:t>
      </w:r>
      <w:r>
        <w:rPr>
          <w:rFonts w:hint="eastAsia" w:ascii="宋体" w:hAnsi="宋体" w:cs="宋体"/>
        </w:rPr>
        <w:t>须协调原厂解决，所涉及的费用由</w:t>
      </w:r>
      <w:r>
        <w:rPr>
          <w:rFonts w:hint="eastAsia" w:ascii="宋体" w:hAnsi="宋体" w:cs="宋体"/>
          <w:lang w:eastAsia="zh-CN"/>
        </w:rPr>
        <w:t>响应单位</w:t>
      </w:r>
      <w:r>
        <w:rPr>
          <w:rFonts w:hint="eastAsia" w:ascii="宋体" w:hAnsi="宋体" w:cs="宋体"/>
        </w:rPr>
        <w:t>承担。</w:t>
      </w:r>
    </w:p>
    <w:p w14:paraId="42C143C0">
      <w:pPr>
        <w:spacing w:line="360" w:lineRule="auto"/>
        <w:ind w:firstLine="480"/>
        <w:rPr>
          <w:rFonts w:hint="eastAsia" w:ascii="宋体" w:hAnsi="宋体" w:cs="宋体"/>
        </w:rPr>
      </w:pPr>
      <w:r>
        <w:rPr>
          <w:rFonts w:hint="eastAsia" w:ascii="宋体" w:hAnsi="宋体" w:cs="宋体"/>
        </w:rPr>
        <w:t>（4）技术支持</w:t>
      </w:r>
    </w:p>
    <w:p w14:paraId="41CCD965">
      <w:pPr>
        <w:spacing w:line="360" w:lineRule="auto"/>
        <w:ind w:firstLine="480"/>
        <w:rPr>
          <w:rFonts w:hint="eastAsia" w:ascii="宋体" w:hAnsi="宋体" w:cs="宋体"/>
        </w:rPr>
      </w:pPr>
      <w:r>
        <w:rPr>
          <w:rFonts w:hint="eastAsia" w:ascii="宋体" w:hAnsi="宋体" w:cs="宋体"/>
        </w:rPr>
        <w:t>质保期内，为提供全面的技术支持，帮助采购人及时解决设备运行中遇到的技术问题，定期检查所有设备和系统的运行情况，并能根据采购人系统变化情况及时调整优化。</w:t>
      </w:r>
    </w:p>
    <w:p w14:paraId="35750FB3">
      <w:pPr>
        <w:spacing w:line="360" w:lineRule="auto"/>
        <w:ind w:firstLine="480"/>
        <w:rPr>
          <w:rFonts w:hint="eastAsia" w:ascii="宋体" w:hAnsi="宋体" w:cs="宋体"/>
        </w:rPr>
      </w:pPr>
      <w:r>
        <w:rPr>
          <w:rFonts w:hint="eastAsia" w:ascii="宋体" w:hAnsi="宋体" w:cs="宋体"/>
        </w:rPr>
        <w:t>质保期内，</w:t>
      </w:r>
      <w:r>
        <w:rPr>
          <w:rFonts w:hint="eastAsia" w:ascii="宋体" w:hAnsi="宋体" w:cs="宋体"/>
          <w:lang w:eastAsia="zh-CN"/>
        </w:rPr>
        <w:t>响应单位</w:t>
      </w:r>
      <w:r>
        <w:rPr>
          <w:rFonts w:hint="eastAsia" w:ascii="宋体" w:hAnsi="宋体" w:cs="宋体"/>
        </w:rPr>
        <w:t>应免费提供存系统版本升级，如升级需增加软件授权均有</w:t>
      </w:r>
      <w:r>
        <w:rPr>
          <w:rFonts w:hint="eastAsia" w:ascii="宋体" w:hAnsi="宋体" w:cs="宋体"/>
          <w:lang w:eastAsia="zh-CN"/>
        </w:rPr>
        <w:t>响应单位</w:t>
      </w:r>
      <w:r>
        <w:rPr>
          <w:rFonts w:hint="eastAsia" w:ascii="宋体" w:hAnsi="宋体" w:cs="宋体"/>
        </w:rPr>
        <w:t>免费提供。</w:t>
      </w:r>
    </w:p>
    <w:p w14:paraId="1D85106B">
      <w:pPr>
        <w:spacing w:line="360" w:lineRule="auto"/>
        <w:ind w:firstLine="480"/>
        <w:rPr>
          <w:rFonts w:hint="eastAsia" w:ascii="宋体" w:hAnsi="宋体" w:cs="宋体"/>
        </w:rPr>
      </w:pPr>
      <w:r>
        <w:rPr>
          <w:rFonts w:hint="eastAsia" w:ascii="宋体" w:hAnsi="宋体" w:cs="宋体"/>
        </w:rPr>
        <w:t>（5）培训要求</w:t>
      </w:r>
    </w:p>
    <w:p w14:paraId="2BCEEDA6">
      <w:pPr>
        <w:spacing w:line="360" w:lineRule="auto"/>
        <w:ind w:firstLine="480"/>
        <w:rPr>
          <w:rFonts w:hint="eastAsia" w:ascii="宋体" w:hAnsi="宋体" w:cs="宋体"/>
        </w:rPr>
      </w:pPr>
      <w:r>
        <w:rPr>
          <w:rFonts w:hint="eastAsia" w:ascii="宋体" w:hAnsi="宋体" w:cs="宋体"/>
          <w:lang w:eastAsia="zh-CN"/>
        </w:rPr>
        <w:t>响应单位</w:t>
      </w:r>
      <w:r>
        <w:rPr>
          <w:rFonts w:hint="eastAsia" w:ascii="宋体" w:hAnsi="宋体" w:cs="宋体"/>
        </w:rPr>
        <w:t>应针对采购单位管理人员、技术人员提供培训，以便对工程实施进行有效的管理，保证工程验收移交后，采购人能够胜任系统的全部运行、操作、维护；故障分析处理；设备维修和保养等工作。</w:t>
      </w:r>
    </w:p>
    <w:p w14:paraId="3057A733">
      <w:pPr>
        <w:spacing w:line="360" w:lineRule="auto"/>
        <w:ind w:firstLine="480"/>
        <w:rPr>
          <w:rFonts w:hint="eastAsia" w:ascii="宋体" w:hAnsi="宋体" w:cs="宋体"/>
        </w:rPr>
      </w:pPr>
      <w:r>
        <w:rPr>
          <w:rFonts w:hint="eastAsia" w:ascii="宋体" w:hAnsi="宋体" w:cs="宋体"/>
        </w:rPr>
        <w:t>二、其他要求：</w:t>
      </w:r>
    </w:p>
    <w:p w14:paraId="59CF6455">
      <w:pPr>
        <w:spacing w:line="360" w:lineRule="auto"/>
        <w:ind w:firstLine="480"/>
        <w:rPr>
          <w:rFonts w:hint="eastAsia" w:ascii="宋体" w:hAnsi="宋体" w:cs="宋体"/>
          <w:b/>
          <w:bCs/>
          <w:lang w:val="zh-CN"/>
        </w:rPr>
      </w:pPr>
      <w:r>
        <w:rPr>
          <w:rFonts w:hint="eastAsia" w:ascii="宋体" w:hAnsi="宋体" w:cs="宋体"/>
        </w:rPr>
        <w:t>1、质保期内，</w:t>
      </w:r>
      <w:r>
        <w:rPr>
          <w:rFonts w:hint="eastAsia" w:ascii="宋体" w:hAnsi="宋体" w:cs="宋体"/>
          <w:lang w:eastAsia="zh-CN"/>
        </w:rPr>
        <w:t>响应单位</w:t>
      </w:r>
      <w:r>
        <w:rPr>
          <w:rFonts w:hint="eastAsia" w:ascii="宋体" w:hAnsi="宋体" w:cs="宋体"/>
        </w:rPr>
        <w:t>负责产品厂家对其提供的设备、软件进行现场维修，不收取人工、配件、交通等额外费用。设备发生故障后，在规定时间内无法解决技术问题和更新故障软硬件，直接影响采购人正常开展业务工作的，采购人有权选择第三方公司提供服务，所需费用由</w:t>
      </w:r>
      <w:r>
        <w:rPr>
          <w:rFonts w:hint="eastAsia" w:ascii="宋体" w:hAnsi="宋体" w:cs="宋体"/>
          <w:lang w:eastAsia="zh-CN"/>
        </w:rPr>
        <w:t>响应单位</w:t>
      </w:r>
      <w:r>
        <w:rPr>
          <w:rFonts w:hint="eastAsia" w:ascii="宋体" w:hAnsi="宋体" w:cs="宋体"/>
        </w:rPr>
        <w:t>承担。</w:t>
      </w:r>
    </w:p>
    <w:p w14:paraId="74A61C25">
      <w:pPr>
        <w:tabs>
          <w:tab w:val="left" w:pos="142"/>
          <w:tab w:val="left" w:pos="600"/>
        </w:tabs>
        <w:adjustRightInd w:val="0"/>
        <w:snapToGrid w:val="0"/>
        <w:spacing w:line="360" w:lineRule="auto"/>
        <w:ind w:firstLine="420" w:firstLineChars="200"/>
        <w:jc w:val="left"/>
        <w:rPr>
          <w:rFonts w:hint="eastAsia" w:ascii="宋体" w:hAnsi="宋体" w:cs="宋体"/>
          <w:lang w:val="zh-CN"/>
        </w:rPr>
      </w:pPr>
      <w:r>
        <w:rPr>
          <w:rFonts w:hint="eastAsia" w:ascii="宋体" w:hAnsi="宋体" w:cs="宋体"/>
        </w:rPr>
        <w:t>2、</w:t>
      </w:r>
      <w:r>
        <w:rPr>
          <w:rFonts w:hint="eastAsia" w:ascii="宋体" w:hAnsi="宋体" w:cs="宋体"/>
          <w:lang w:val="zh-CN"/>
        </w:rPr>
        <w:t>响应单位明确所投设备的品牌、型号、规格和外形、尺寸、安装、调试、重量及一些必须说明的技术参数，以及使用的材料的清单，同时明确生产厂家、型号规格等，并提供详细的技术参数及性能说明书。</w:t>
      </w:r>
    </w:p>
    <w:p w14:paraId="65E5A5C7">
      <w:pPr>
        <w:tabs>
          <w:tab w:val="left" w:pos="142"/>
          <w:tab w:val="left" w:pos="600"/>
        </w:tabs>
        <w:adjustRightInd w:val="0"/>
        <w:snapToGrid w:val="0"/>
        <w:spacing w:line="360" w:lineRule="auto"/>
        <w:ind w:firstLine="420" w:firstLineChars="200"/>
        <w:jc w:val="left"/>
        <w:rPr>
          <w:rFonts w:hint="eastAsia" w:ascii="宋体" w:hAnsi="宋体" w:cs="宋体"/>
          <w:lang w:val="zh-CN"/>
        </w:rPr>
      </w:pPr>
      <w:r>
        <w:rPr>
          <w:rFonts w:hint="eastAsia" w:ascii="宋体" w:hAnsi="宋体" w:cs="宋体"/>
        </w:rPr>
        <w:t>3、</w:t>
      </w:r>
      <w:r>
        <w:rPr>
          <w:rFonts w:hint="eastAsia" w:ascii="宋体" w:hAnsi="宋体" w:cs="宋体"/>
          <w:lang w:val="zh-CN"/>
        </w:rPr>
        <w:t>响应单位必须承诺招标文件中提出的全部技术规格与要求，如果以其中某些条款不响应时，应在文件中逐条列出，未列出的视同响应。</w:t>
      </w:r>
      <w:r>
        <w:rPr>
          <w:rFonts w:hint="eastAsia" w:ascii="宋体" w:hAnsi="宋体" w:cs="宋体"/>
        </w:rPr>
        <w:t>谈判响应文件中如涉及品牌型号，仅供参考。</w:t>
      </w:r>
    </w:p>
    <w:p w14:paraId="727B9C33">
      <w:pPr>
        <w:tabs>
          <w:tab w:val="left" w:pos="142"/>
          <w:tab w:val="left" w:pos="600"/>
        </w:tabs>
        <w:adjustRightInd w:val="0"/>
        <w:snapToGrid w:val="0"/>
        <w:spacing w:line="360" w:lineRule="auto"/>
        <w:ind w:firstLine="420" w:firstLineChars="200"/>
        <w:jc w:val="left"/>
        <w:rPr>
          <w:rFonts w:hint="eastAsia" w:ascii="宋体" w:hAnsi="宋体" w:cs="宋体"/>
          <w:lang w:val="zh-CN"/>
        </w:rPr>
      </w:pPr>
      <w:r>
        <w:rPr>
          <w:rFonts w:hint="eastAsia" w:ascii="宋体" w:hAnsi="宋体" w:cs="宋体"/>
        </w:rPr>
        <w:t>4、</w:t>
      </w:r>
      <w:r>
        <w:rPr>
          <w:rFonts w:hint="eastAsia" w:ascii="宋体" w:hAnsi="宋体" w:cs="宋体"/>
          <w:lang w:val="zh-CN"/>
        </w:rPr>
        <w:t>投标总报价包括全部设备、辅助材料、安装、调试、人工、机械、运输、仓储、保险、运费、各种税费、劳保、专利技术及质保期间等一切费用。</w:t>
      </w:r>
    </w:p>
    <w:p w14:paraId="1C36D2EB">
      <w:pPr>
        <w:tabs>
          <w:tab w:val="left" w:pos="142"/>
          <w:tab w:val="left" w:pos="600"/>
        </w:tabs>
        <w:adjustRightInd w:val="0"/>
        <w:snapToGrid w:val="0"/>
        <w:spacing w:line="360" w:lineRule="auto"/>
        <w:ind w:firstLine="420" w:firstLineChars="200"/>
        <w:jc w:val="left"/>
        <w:rPr>
          <w:rFonts w:hint="eastAsia" w:ascii="宋体" w:hAnsi="宋体" w:cs="宋体"/>
          <w:lang w:val="zh-CN"/>
        </w:rPr>
      </w:pPr>
      <w:r>
        <w:rPr>
          <w:rFonts w:hint="eastAsia" w:ascii="宋体" w:hAnsi="宋体" w:cs="宋体"/>
        </w:rPr>
        <w:t>5、</w:t>
      </w:r>
      <w:r>
        <w:rPr>
          <w:rFonts w:hint="eastAsia" w:ascii="宋体" w:hAnsi="宋体" w:cs="宋体"/>
          <w:lang w:val="zh-CN"/>
        </w:rPr>
        <w:t>供方负责安装、调试、并承担因此发生的一切费用。</w:t>
      </w:r>
    </w:p>
    <w:p w14:paraId="05025470">
      <w:pPr>
        <w:tabs>
          <w:tab w:val="left" w:pos="142"/>
          <w:tab w:val="left" w:pos="600"/>
        </w:tabs>
        <w:adjustRightInd w:val="0"/>
        <w:snapToGrid w:val="0"/>
        <w:spacing w:line="360" w:lineRule="auto"/>
        <w:ind w:firstLine="420" w:firstLineChars="200"/>
        <w:jc w:val="left"/>
        <w:rPr>
          <w:rFonts w:hint="eastAsia" w:ascii="宋体" w:hAnsi="宋体" w:cs="宋体"/>
          <w:lang w:val="zh-CN"/>
        </w:rPr>
      </w:pPr>
      <w:r>
        <w:rPr>
          <w:rFonts w:hint="eastAsia" w:ascii="宋体" w:hAnsi="宋体" w:cs="宋体"/>
        </w:rPr>
        <w:t>6、</w:t>
      </w:r>
      <w:r>
        <w:rPr>
          <w:rFonts w:hint="eastAsia" w:ascii="宋体" w:hAnsi="宋体" w:cs="宋体"/>
          <w:lang w:val="zh-CN"/>
        </w:rPr>
        <w:t>响应单位必须明确作出服务承诺，详细阐述维修、维护内容及服务方式和范围。</w:t>
      </w:r>
    </w:p>
    <w:p w14:paraId="615201AA">
      <w:pPr>
        <w:tabs>
          <w:tab w:val="left" w:pos="142"/>
          <w:tab w:val="left" w:pos="600"/>
        </w:tabs>
        <w:adjustRightInd w:val="0"/>
        <w:snapToGrid w:val="0"/>
        <w:spacing w:line="360" w:lineRule="auto"/>
        <w:ind w:firstLine="420" w:firstLineChars="200"/>
        <w:jc w:val="left"/>
        <w:rPr>
          <w:rFonts w:hint="eastAsia" w:ascii="宋体" w:hAnsi="宋体" w:cs="宋体"/>
        </w:rPr>
      </w:pPr>
      <w:r>
        <w:rPr>
          <w:rFonts w:hint="eastAsia" w:ascii="宋体" w:hAnsi="宋体" w:cs="宋体"/>
        </w:rPr>
        <w:t>7、验收标准：</w:t>
      </w:r>
    </w:p>
    <w:p w14:paraId="566D0760">
      <w:pPr>
        <w:tabs>
          <w:tab w:val="left" w:pos="142"/>
          <w:tab w:val="left" w:pos="600"/>
        </w:tabs>
        <w:adjustRightInd w:val="0"/>
        <w:snapToGrid w:val="0"/>
        <w:spacing w:line="360" w:lineRule="auto"/>
        <w:ind w:firstLine="420" w:firstLineChars="200"/>
        <w:jc w:val="left"/>
        <w:rPr>
          <w:rFonts w:hint="eastAsia" w:ascii="宋体" w:hAnsi="宋体" w:cs="宋体"/>
          <w:lang w:val="zh-CN"/>
        </w:rPr>
      </w:pPr>
      <w:r>
        <w:rPr>
          <w:rFonts w:hint="eastAsia" w:ascii="宋体" w:hAnsi="宋体" w:cs="宋体"/>
          <w:lang w:val="zh-CN"/>
        </w:rPr>
        <w:t>（</w:t>
      </w:r>
      <w:r>
        <w:rPr>
          <w:rFonts w:hint="eastAsia" w:ascii="宋体" w:hAnsi="宋体" w:cs="宋体"/>
        </w:rPr>
        <w:t>1</w:t>
      </w:r>
      <w:r>
        <w:rPr>
          <w:rFonts w:hint="eastAsia" w:ascii="宋体" w:hAnsi="宋体" w:cs="宋体"/>
          <w:lang w:val="zh-CN"/>
        </w:rPr>
        <w:t>）产品运抵甲方指定地点后，甲方对所供货物就数量、规格、品牌、质量、外观、材质、工艺等基本检测项目进行验收，若有产品损坏、丢失或出现其他不符合招标要求的情况，乙方应根据甲方的要求免费补充、更换；设备安装调试完毕后，甲方组织质量性能验收，若发现乙方提供的设备及其安装有质量、性能方面的问题甲方有权拒收或要求乙方更换、维修直至验收合格。乙方负责在接到甲方异议之日起七日内负责处理，否则视为同意甲方的处理意见。</w:t>
      </w:r>
    </w:p>
    <w:p w14:paraId="3B10A4AF">
      <w:pPr>
        <w:tabs>
          <w:tab w:val="left" w:pos="142"/>
          <w:tab w:val="left" w:pos="600"/>
        </w:tabs>
        <w:adjustRightInd w:val="0"/>
        <w:snapToGrid w:val="0"/>
        <w:spacing w:line="360" w:lineRule="auto"/>
        <w:ind w:firstLine="420" w:firstLineChars="200"/>
        <w:jc w:val="left"/>
        <w:rPr>
          <w:rFonts w:hint="eastAsia" w:ascii="宋体" w:hAnsi="宋体" w:cs="宋体"/>
          <w:lang w:val="zh-CN"/>
        </w:rPr>
      </w:pPr>
      <w:r>
        <w:rPr>
          <w:rFonts w:hint="eastAsia" w:ascii="宋体" w:hAnsi="宋体" w:cs="宋体"/>
          <w:lang w:val="zh-CN"/>
        </w:rPr>
        <w:t>（</w:t>
      </w:r>
      <w:r>
        <w:rPr>
          <w:rFonts w:hint="eastAsia" w:ascii="宋体" w:hAnsi="宋体" w:cs="宋体"/>
        </w:rPr>
        <w:t>2</w:t>
      </w:r>
      <w:r>
        <w:rPr>
          <w:rFonts w:hint="eastAsia" w:ascii="宋体" w:hAnsi="宋体" w:cs="宋体"/>
          <w:lang w:val="zh-CN"/>
        </w:rPr>
        <w:t>）验收标准：按本招标文件、供应商的投标文件、承诺及行业相关标准为准。</w:t>
      </w:r>
    </w:p>
    <w:p w14:paraId="47C32C05">
      <w:pPr>
        <w:tabs>
          <w:tab w:val="left" w:pos="142"/>
          <w:tab w:val="left" w:pos="600"/>
        </w:tabs>
        <w:adjustRightInd w:val="0"/>
        <w:snapToGrid w:val="0"/>
        <w:spacing w:line="360" w:lineRule="auto"/>
        <w:ind w:firstLine="420" w:firstLineChars="200"/>
        <w:jc w:val="left"/>
        <w:rPr>
          <w:rFonts w:hint="eastAsia" w:ascii="宋体" w:hAnsi="宋体" w:cs="宋体"/>
          <w:lang w:val="zh-CN"/>
        </w:rPr>
      </w:pPr>
      <w:r>
        <w:rPr>
          <w:rFonts w:hint="eastAsia" w:ascii="宋体" w:hAnsi="宋体" w:cs="宋体"/>
          <w:lang w:val="zh-CN"/>
        </w:rPr>
        <w:t>（</w:t>
      </w:r>
      <w:r>
        <w:rPr>
          <w:rFonts w:hint="eastAsia" w:ascii="宋体" w:hAnsi="宋体" w:cs="宋体"/>
        </w:rPr>
        <w:t>3</w:t>
      </w:r>
      <w:r>
        <w:rPr>
          <w:rFonts w:hint="eastAsia" w:ascii="宋体" w:hAnsi="宋体" w:cs="宋体"/>
          <w:lang w:val="zh-CN"/>
        </w:rPr>
        <w:t>）验收时，乙方必须参加，由甲乙双方签署验收单，但双方签署验收单的行为并不代表本合同项下设备最终符合合同要求，不免除乙方应当承担的任何责任。</w:t>
      </w:r>
    </w:p>
    <w:p w14:paraId="06632DB7">
      <w:pPr>
        <w:tabs>
          <w:tab w:val="left" w:pos="142"/>
          <w:tab w:val="left" w:pos="600"/>
        </w:tabs>
        <w:adjustRightInd w:val="0"/>
        <w:snapToGrid w:val="0"/>
        <w:spacing w:line="360" w:lineRule="auto"/>
        <w:ind w:firstLine="420" w:firstLineChars="200"/>
        <w:jc w:val="left"/>
        <w:rPr>
          <w:rFonts w:hint="eastAsia" w:hAnsi="宋体"/>
        </w:rPr>
      </w:pPr>
      <w:r>
        <w:rPr>
          <w:rFonts w:hint="eastAsia" w:ascii="宋体" w:hAnsi="宋体" w:cs="宋体"/>
          <w:lang w:val="zh-CN"/>
        </w:rPr>
        <w:t>（</w:t>
      </w:r>
      <w:r>
        <w:rPr>
          <w:rFonts w:hint="eastAsia" w:ascii="宋体" w:hAnsi="宋体" w:cs="宋体"/>
        </w:rPr>
        <w:t>4</w:t>
      </w:r>
      <w:r>
        <w:rPr>
          <w:rFonts w:hint="eastAsia" w:ascii="宋体" w:hAnsi="宋体" w:cs="宋体"/>
          <w:lang w:val="zh-CN"/>
        </w:rPr>
        <w:t>）乙方提供相关竣工验收资料，所有费用已含在合同价款中。</w:t>
      </w:r>
    </w:p>
    <w:p w14:paraId="1D22E1A9">
      <w:pPr>
        <w:rPr>
          <w:rFonts w:eastAsia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4D630"/>
    <w:multiLevelType w:val="singleLevel"/>
    <w:tmpl w:val="8B84D630"/>
    <w:lvl w:ilvl="0" w:tentative="0">
      <w:start w:val="9"/>
      <w:numFmt w:val="decimal"/>
      <w:suff w:val="nothing"/>
      <w:lvlText w:val="%1、"/>
      <w:lvlJc w:val="left"/>
    </w:lvl>
  </w:abstractNum>
  <w:abstractNum w:abstractNumId="1">
    <w:nsid w:val="9E25EB53"/>
    <w:multiLevelType w:val="singleLevel"/>
    <w:tmpl w:val="9E25EB53"/>
    <w:lvl w:ilvl="0" w:tentative="0">
      <w:start w:val="1"/>
      <w:numFmt w:val="decimal"/>
      <w:lvlText w:val="%1."/>
      <w:lvlJc w:val="left"/>
      <w:pPr>
        <w:tabs>
          <w:tab w:val="left" w:pos="312"/>
        </w:tabs>
      </w:pPr>
    </w:lvl>
  </w:abstractNum>
  <w:abstractNum w:abstractNumId="2">
    <w:nsid w:val="402EA64C"/>
    <w:multiLevelType w:val="singleLevel"/>
    <w:tmpl w:val="402EA64C"/>
    <w:lvl w:ilvl="0" w:tentative="0">
      <w:start w:val="2"/>
      <w:numFmt w:val="decimal"/>
      <w:suff w:val="space"/>
      <w:lvlText w:val="%1."/>
      <w:lvlJc w:val="left"/>
    </w:lvl>
  </w:abstractNum>
  <w:abstractNum w:abstractNumId="3">
    <w:nsid w:val="52DB8F59"/>
    <w:multiLevelType w:val="multilevel"/>
    <w:tmpl w:val="52DB8F59"/>
    <w:lvl w:ilvl="0" w:tentative="0">
      <w:start w:val="1"/>
      <w:numFmt w:val="decimal"/>
      <w:pStyle w:val="4"/>
      <w:lvlText w:val="%1."/>
      <w:lvlJc w:val="left"/>
      <w:pPr>
        <w:tabs>
          <w:tab w:val="left" w:pos="0"/>
        </w:tabs>
        <w:ind w:left="0" w:firstLine="0"/>
      </w:pPr>
      <w:rPr>
        <w:rFonts w:hint="default" w:ascii="宋体" w:hAnsi="宋体" w:eastAsia="宋体" w:cs="宋体"/>
      </w:rPr>
    </w:lvl>
    <w:lvl w:ilvl="1" w:tentative="0">
      <w:start w:val="1"/>
      <w:numFmt w:val="decimal"/>
      <w:lvlText w:val="%1.%2."/>
      <w:lvlJc w:val="left"/>
      <w:pPr>
        <w:tabs>
          <w:tab w:val="left" w:pos="0"/>
        </w:tabs>
        <w:ind w:left="0" w:firstLine="0"/>
      </w:pPr>
      <w:rPr>
        <w:rFonts w:hint="default" w:ascii="宋体" w:hAnsi="宋体" w:eastAsia="宋体" w:cs="宋体"/>
      </w:rPr>
    </w:lvl>
    <w:lvl w:ilvl="2" w:tentative="0">
      <w:start w:val="1"/>
      <w:numFmt w:val="decimal"/>
      <w:lvlText w:val="%1.%2.%3."/>
      <w:lvlJc w:val="left"/>
      <w:pPr>
        <w:tabs>
          <w:tab w:val="left" w:pos="0"/>
        </w:tabs>
        <w:ind w:left="0" w:firstLine="0"/>
      </w:pPr>
      <w:rPr>
        <w:rFonts w:hint="default" w:ascii="宋体" w:hAnsi="宋体" w:eastAsia="宋体" w:cs="宋体"/>
      </w:rPr>
    </w:lvl>
    <w:lvl w:ilvl="3" w:tentative="0">
      <w:start w:val="1"/>
      <w:numFmt w:val="decimal"/>
      <w:lvlText w:val="%1.%2.%3.%4."/>
      <w:lvlJc w:val="left"/>
      <w:pPr>
        <w:tabs>
          <w:tab w:val="left" w:pos="0"/>
        </w:tabs>
        <w:ind w:left="0" w:firstLine="0"/>
      </w:pPr>
      <w:rPr>
        <w:rFonts w:hint="default" w:ascii="宋体" w:hAnsi="宋体" w:eastAsia="宋体" w:cs="宋体"/>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
    <w:nsid w:val="578574BC"/>
    <w:multiLevelType w:val="singleLevel"/>
    <w:tmpl w:val="578574BC"/>
    <w:lvl w:ilvl="0" w:tentative="0">
      <w:start w:val="1"/>
      <w:numFmt w:val="decimal"/>
      <w:suff w:val="nothing"/>
      <w:lvlText w:val="%1、"/>
      <w:lvlJc w:val="left"/>
    </w:lvl>
  </w:abstractNum>
  <w:abstractNum w:abstractNumId="5">
    <w:nsid w:val="6ACBB11D"/>
    <w:multiLevelType w:val="singleLevel"/>
    <w:tmpl w:val="6ACBB11D"/>
    <w:lvl w:ilvl="0" w:tentative="0">
      <w:start w:val="1"/>
      <w:numFmt w:val="decimal"/>
      <w:suff w:val="nothing"/>
      <w:lvlText w:val="%1、"/>
      <w:lvlJc w:val="left"/>
    </w:lvl>
  </w:abstractNum>
  <w:num w:numId="1">
    <w:abstractNumId w:val="3"/>
  </w:num>
  <w:num w:numId="2">
    <w:abstractNumId w:val="2"/>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yN2ZmMGRlNzAxMTVmNzJiZmU1OWZkYWQ3ZDIzMGUifQ=="/>
    <w:docVar w:name="KSO_WPS_MARK_KEY" w:val="73d7bfbd-345d-4e81-a0c0-7e45aac9203b"/>
  </w:docVars>
  <w:rsids>
    <w:rsidRoot w:val="679A609E"/>
    <w:rsid w:val="0022534D"/>
    <w:rsid w:val="004149EC"/>
    <w:rsid w:val="00502AE9"/>
    <w:rsid w:val="006417DD"/>
    <w:rsid w:val="00A02A4F"/>
    <w:rsid w:val="00AB1A7F"/>
    <w:rsid w:val="00D1046B"/>
    <w:rsid w:val="07316C3F"/>
    <w:rsid w:val="19DE70AC"/>
    <w:rsid w:val="21761B3E"/>
    <w:rsid w:val="408255E6"/>
    <w:rsid w:val="679A609E"/>
    <w:rsid w:val="754F5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1"/>
      <w:lang w:val="en-US" w:eastAsia="zh-CN" w:bidi="ar-SA"/>
    </w:rPr>
  </w:style>
  <w:style w:type="paragraph" w:styleId="4">
    <w:name w:val="heading 1"/>
    <w:basedOn w:val="1"/>
    <w:next w:val="1"/>
    <w:qFormat/>
    <w:uiPriority w:val="0"/>
    <w:pPr>
      <w:keepNext/>
      <w:keepLines/>
      <w:numPr>
        <w:ilvl w:val="0"/>
        <w:numId w:val="1"/>
      </w:numPr>
      <w:outlineLvl w:val="0"/>
    </w:pPr>
    <w:rPr>
      <w:b/>
      <w:kern w:val="44"/>
      <w:sz w:val="30"/>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customStyle="1" w:styleId="2">
    <w:name w:val="正文首行缩进 21"/>
    <w:basedOn w:val="3"/>
    <w:qFormat/>
    <w:uiPriority w:val="0"/>
    <w:pPr>
      <w:spacing w:line="360" w:lineRule="auto"/>
      <w:ind w:firstLine="420"/>
    </w:pPr>
    <w:rPr>
      <w:rFonts w:ascii="宋体" w:hAnsi="宋体" w:eastAsia="宋体"/>
      <w:sz w:val="21"/>
      <w:szCs w:val="20"/>
    </w:rPr>
  </w:style>
  <w:style w:type="paragraph" w:customStyle="1" w:styleId="3">
    <w:name w:val="正文文本缩进1"/>
    <w:basedOn w:val="1"/>
    <w:next w:val="1"/>
    <w:qFormat/>
    <w:uiPriority w:val="0"/>
    <w:pPr>
      <w:ind w:firstLine="645"/>
    </w:pPr>
    <w:rPr>
      <w:rFonts w:ascii="楷体_GB2312" w:eastAsia="楷体_GB2312"/>
      <w:sz w:val="32"/>
      <w:szCs w:val="32"/>
    </w:rPr>
  </w:style>
  <w:style w:type="paragraph" w:styleId="5">
    <w:name w:val="Body Text"/>
    <w:basedOn w:val="1"/>
    <w:next w:val="1"/>
    <w:qFormat/>
    <w:uiPriority w:val="0"/>
    <w:pPr>
      <w:spacing w:line="0" w:lineRule="atLeast"/>
      <w:ind w:right="392"/>
    </w:pPr>
    <w:rPr>
      <w:rFonts w:ascii="宋体" w:hAnsi="Calibri"/>
      <w:sz w:val="28"/>
    </w:rPr>
  </w:style>
  <w:style w:type="paragraph" w:styleId="6">
    <w:name w:val="footer"/>
    <w:basedOn w:val="1"/>
    <w:link w:val="20"/>
    <w:qFormat/>
    <w:uiPriority w:val="0"/>
    <w:pPr>
      <w:tabs>
        <w:tab w:val="center" w:pos="4153"/>
        <w:tab w:val="right" w:pos="8306"/>
      </w:tabs>
      <w:snapToGrid w:val="0"/>
      <w:jc w:val="left"/>
    </w:pPr>
    <w:rPr>
      <w:sz w:val="18"/>
      <w:szCs w:val="18"/>
    </w:rPr>
  </w:style>
  <w:style w:type="paragraph" w:styleId="7">
    <w:name w:val="header"/>
    <w:basedOn w:val="1"/>
    <w:link w:val="19"/>
    <w:qFormat/>
    <w:uiPriority w:val="0"/>
    <w:pPr>
      <w:tabs>
        <w:tab w:val="center" w:pos="4153"/>
        <w:tab w:val="right" w:pos="8306"/>
      </w:tabs>
      <w:snapToGrid w:val="0"/>
      <w:jc w:val="center"/>
    </w:pPr>
    <w:rPr>
      <w:sz w:val="18"/>
      <w:szCs w:val="18"/>
    </w:rPr>
  </w:style>
  <w:style w:type="paragraph" w:customStyle="1" w:styleId="10">
    <w:name w:val="列出段落"/>
    <w:basedOn w:val="1"/>
    <w:qFormat/>
    <w:uiPriority w:val="34"/>
    <w:pPr>
      <w:widowControl/>
      <w:ind w:left="720"/>
      <w:contextualSpacing/>
      <w:jc w:val="left"/>
    </w:pPr>
    <w:rPr>
      <w:rFonts w:ascii="Calibri" w:hAnsi="Calibri"/>
      <w:sz w:val="24"/>
      <w:szCs w:val="24"/>
      <w:lang w:eastAsia="en-US" w:bidi="en-US"/>
    </w:rPr>
  </w:style>
  <w:style w:type="character" w:customStyle="1" w:styleId="11">
    <w:name w:val="font61"/>
    <w:basedOn w:val="9"/>
    <w:qFormat/>
    <w:uiPriority w:val="0"/>
    <w:rPr>
      <w:rFonts w:hint="default" w:ascii="Arial" w:hAnsi="Arial" w:cs="Arial"/>
      <w:color w:val="000000"/>
      <w:sz w:val="22"/>
      <w:szCs w:val="22"/>
      <w:u w:val="none"/>
    </w:rPr>
  </w:style>
  <w:style w:type="character" w:customStyle="1" w:styleId="12">
    <w:name w:val="font01"/>
    <w:basedOn w:val="9"/>
    <w:qFormat/>
    <w:uiPriority w:val="0"/>
    <w:rPr>
      <w:rFonts w:hint="eastAsia" w:ascii="宋体" w:hAnsi="宋体" w:eastAsia="宋体" w:cs="宋体"/>
      <w:color w:val="000000"/>
      <w:sz w:val="22"/>
      <w:szCs w:val="22"/>
      <w:u w:val="none"/>
    </w:rPr>
  </w:style>
  <w:style w:type="character" w:customStyle="1" w:styleId="13">
    <w:name w:val="font51"/>
    <w:basedOn w:val="9"/>
    <w:qFormat/>
    <w:uiPriority w:val="0"/>
    <w:rPr>
      <w:rFonts w:ascii="微软雅黑" w:hAnsi="微软雅黑" w:eastAsia="微软雅黑" w:cs="微软雅黑"/>
      <w:color w:val="000000"/>
      <w:sz w:val="22"/>
      <w:szCs w:val="22"/>
      <w:u w:val="none"/>
    </w:rPr>
  </w:style>
  <w:style w:type="character" w:customStyle="1" w:styleId="14">
    <w:name w:val="font11"/>
    <w:basedOn w:val="9"/>
    <w:qFormat/>
    <w:uiPriority w:val="0"/>
    <w:rPr>
      <w:rFonts w:hint="default" w:ascii="Arial" w:hAnsi="Arial" w:cs="Arial"/>
      <w:color w:val="000000"/>
      <w:sz w:val="22"/>
      <w:szCs w:val="22"/>
      <w:u w:val="none"/>
    </w:rPr>
  </w:style>
  <w:style w:type="character" w:customStyle="1" w:styleId="15">
    <w:name w:val="font41"/>
    <w:basedOn w:val="9"/>
    <w:qFormat/>
    <w:uiPriority w:val="0"/>
    <w:rPr>
      <w:rFonts w:hint="eastAsia" w:ascii="宋体" w:hAnsi="宋体" w:eastAsia="宋体" w:cs="宋体"/>
      <w:color w:val="000000"/>
      <w:sz w:val="22"/>
      <w:szCs w:val="22"/>
      <w:u w:val="none"/>
    </w:rPr>
  </w:style>
  <w:style w:type="table" w:customStyle="1" w:styleId="16">
    <w:name w:val="网格型1"/>
    <w:basedOn w:val="17"/>
    <w:qFormat/>
    <w:uiPriority w:val="0"/>
    <w:pPr>
      <w:widowControl w:val="0"/>
      <w:jc w:val="both"/>
    </w:pPr>
  </w:style>
  <w:style w:type="table" w:customStyle="1" w:styleId="17">
    <w:name w:val="普通表格1"/>
    <w:unhideWhenUsed/>
    <w:qFormat/>
    <w:uiPriority w:val="99"/>
    <w:tblPr>
      <w:tblCellMar>
        <w:top w:w="0" w:type="dxa"/>
        <w:left w:w="0" w:type="dxa"/>
        <w:bottom w:w="0" w:type="dxa"/>
        <w:right w:w="0" w:type="dxa"/>
      </w:tblCellMar>
    </w:tblPr>
  </w:style>
  <w:style w:type="paragraph" w:styleId="18">
    <w:name w:val="List Paragraph"/>
    <w:basedOn w:val="1"/>
    <w:qFormat/>
    <w:uiPriority w:val="34"/>
    <w:pPr>
      <w:ind w:firstLine="420" w:firstLineChars="200"/>
    </w:pPr>
  </w:style>
  <w:style w:type="character" w:customStyle="1" w:styleId="19">
    <w:name w:val="页眉 字符"/>
    <w:basedOn w:val="9"/>
    <w:link w:val="7"/>
    <w:qFormat/>
    <w:uiPriority w:val="0"/>
    <w:rPr>
      <w:sz w:val="18"/>
      <w:szCs w:val="18"/>
    </w:rPr>
  </w:style>
  <w:style w:type="character" w:customStyle="1" w:styleId="20">
    <w:name w:val="页脚 字符"/>
    <w:basedOn w:val="9"/>
    <w:link w:val="6"/>
    <w:qFormat/>
    <w:uiPriority w:val="0"/>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1387</Words>
  <Characters>1576</Characters>
  <Lines>34</Lines>
  <Paragraphs>9</Paragraphs>
  <TotalTime>7</TotalTime>
  <ScaleCrop>false</ScaleCrop>
  <LinksUpToDate>false</LinksUpToDate>
  <CharactersWithSpaces>1623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2026-08-20T03:25:00Z</dcterms:created>
  <dc:creator>Quan</dc:creator>
  <cp:lastModifiedBy>橘子桔子橘</cp:lastModifiedBy>
  <dcterms:modified xsi:type="dcterms:W3CDTF">2026-09-03T01:16:15Z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FBFD7FFEA9394573AB3E06AC1CDAD91F</vt:lpwstr>
  </property>
  <property fmtid="{D5CDD505-2E9C-101B-9397-08002B2CF9AE}" pid="4" name="KSOTemplateDocerSaveRecord">
    <vt:lpwstr>eyJoZGlkIjoiMzMzOTZkYzcxNDYwZTJjZDg0YTk4ZjBlN2Q3ZGNmZjQiLCJ1c2VySWQiOiIxMDE1NDUyMDMwIn0=</vt:lpwstr>
  </property>
</Properties>
</file>