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212B33">
      <w:pPr>
        <w:spacing w:line="560" w:lineRule="exact"/>
        <w:jc w:val="center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heading_1"/>
      <w:r>
        <w:rPr>
          <w:rFonts w:hint="eastAsia" w:ascii="宋体" w:hAnsi="宋体" w:eastAsia="宋体" w:cs="宋体"/>
          <w:b w:val="0"/>
          <w:bCs w:val="0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多模态中西医康复临床科研数据采集平台与分析系统开发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项目需求</w:t>
      </w:r>
    </w:p>
    <w:p w14:paraId="1F00B73B">
      <w:pPr>
        <w:spacing w:line="560" w:lineRule="exact"/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一、背景和依据</w:t>
      </w:r>
    </w:p>
    <w:p w14:paraId="4E334A77">
      <w:pPr>
        <w:spacing w:line="560" w:lineRule="exact"/>
        <w:ind w:firstLine="560" w:firstLineChars="200"/>
        <w:rPr>
          <w:rFonts w:hint="default" w:ascii="仿宋_GB2312" w:hAnsi="仿宋" w:eastAsia="仿宋_GB2312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/>
          <w:sz w:val="28"/>
          <w:szCs w:val="28"/>
          <w:lang w:val="en-US" w:eastAsia="zh-CN"/>
        </w:rPr>
        <w:t>为满足中西医协同康复临床科研数据采集、分析和平台建设需要，进一步提升康复医学科科研数据规范化管理能力，拟建设多模态中西医康复临床科研数据采集平台与分析系统。该平台围绕患者基础资料、病史资料、康复评估记录、体态采集、舌诊图像及信息采集、动作解析与分析，以及肌电、fNIRS功能近红外、IMU、振动刺激、耳迷走神经刺激等多模态数据同步管理需求，建立覆盖临床科研数据采集、设备集成、数据同步、基础分析、科研导出和数据管理的一体化平台。项目成果主要用于科室科研、康复评估辅助研究、数据管理和内部教学研究等用途，系统输出结果仅作为科研数据采集、分析和管理参考。</w:t>
      </w:r>
    </w:p>
    <w:p w14:paraId="70606359">
      <w:pPr>
        <w:spacing w:line="560" w:lineRule="exact"/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二、主要内容</w:t>
      </w:r>
    </w:p>
    <w:p w14:paraId="560707EB">
      <w:pPr>
        <w:spacing w:line="560" w:lineRule="exact"/>
        <w:ind w:firstLine="560" w:firstLineChars="200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hint="eastAsia" w:eastAsia="仿宋_GB2312"/>
          <w:sz w:val="28"/>
          <w:szCs w:val="28"/>
          <w:lang w:val="en-US" w:eastAsia="zh-CN"/>
        </w:rPr>
        <w:t>本项目拟建设平台主要包括微信小程序或APP信息录入端、管理端与数据平台、深度相机体态解析、舌诊数据采集与分析、动作解析与分析、AI脊柱侧弯评估分析、耳迷走刺激设备集成与数据同步、多模态数据同步、数据导出与接口等内容。信息录入端支持患者及受试者基本信息、病史资料、康复评估记录和随访资料采集；管理端支持账号权限、研究项目、受试者管理、数据查询、基础统计、数据维护、日志留痕和数据导出；体态、舌诊和动作解析模块用于完成相应数据采集、基础特征提取、归档和展示；多模态采集模块用于实现APP录入信息、体态数据、舌诊数据、动作数据以及肌电、fNIRS、IMU、振动刺激、耳迷走神经刺激等数据之间的受试者关联、时间戳记录和采集批次管理。AI脊柱侧弯评估系统用自动生成脊柱侧弯风险因子、ATR角记录、双目摄像头体态评估及X光片植入。耳迷走神经采集平台的功能如下：针对科研场景需要针对不同疾病和症状研究，可在平台上对耳迷设备设置对应的治疗参数设置，单向波、双向波、脉冲宽度、刺激频率、强度档位、治疗时长；配套耳迷平台使用小程序，激活平台端的参数，并将患者使用数据上传，便于科研分析。科研平台建成后，支持按研究项目、受试者、采集批次和数据类型等维度导出CSV、Excel或双方确认的结构化格式，并配套完成部署调试、操作培训、配置清单、技术方案、操作说明、测试记录和验收材料等交付工作。本项目建设严格遵守数据不出域的整体原则，数据不对外公开、流转。</w:t>
      </w:r>
      <w:bookmarkStart w:id="48" w:name="_GoBack"/>
      <w:bookmarkEnd w:id="48"/>
    </w:p>
    <w:p w14:paraId="32438941">
      <w:pPr>
        <w:spacing w:line="560" w:lineRule="exact"/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三、具体参数要求</w:t>
      </w:r>
    </w:p>
    <w:p w14:paraId="1D565E51">
      <w:pPr>
        <w:spacing w:before="380" w:after="140" w:line="288" w:lineRule="auto"/>
        <w:ind w:left="0"/>
        <w:jc w:val="left"/>
        <w:outlineLvl w:val="0"/>
      </w:pPr>
      <w:r>
        <w:rPr>
          <w:rFonts w:hint="eastAsia" w:ascii="Arial" w:hAnsi="Arial" w:eastAsia="等线" w:cs="Arial"/>
          <w:b/>
          <w:sz w:val="36"/>
          <w:lang w:val="en-US" w:eastAsia="zh-CN"/>
        </w:rPr>
        <w:t>1、</w:t>
      </w:r>
      <w:r>
        <w:rPr>
          <w:rFonts w:ascii="Arial" w:hAnsi="Arial" w:eastAsia="等线" w:cs="Arial"/>
          <w:b/>
          <w:sz w:val="36"/>
        </w:rPr>
        <w:t>微信小程序</w:t>
      </w:r>
      <w:bookmarkEnd w:id="0"/>
    </w:p>
    <w:p w14:paraId="7F7FC55F">
      <w:pPr>
        <w:spacing w:before="320" w:after="120" w:line="288" w:lineRule="auto"/>
        <w:ind w:left="0"/>
        <w:jc w:val="left"/>
        <w:outlineLvl w:val="1"/>
      </w:pPr>
      <w:bookmarkStart w:id="1" w:name="heading_2"/>
      <w:r>
        <w:rPr>
          <w:rFonts w:ascii="Arial" w:hAnsi="Arial" w:eastAsia="等线" w:cs="Arial"/>
          <w:b/>
          <w:sz w:val="32"/>
        </w:rPr>
        <w:t xml:space="preserve">1.1 随访任务管理 </w:t>
      </w:r>
      <w:bookmarkEnd w:id="1"/>
    </w:p>
    <w:p w14:paraId="555DCD4C">
      <w:pPr>
        <w:spacing w:before="300" w:after="120" w:line="288" w:lineRule="auto"/>
        <w:ind w:left="453"/>
        <w:jc w:val="left"/>
        <w:outlineLvl w:val="2"/>
      </w:pPr>
      <w:bookmarkStart w:id="2" w:name="heading_3"/>
      <w:r>
        <w:rPr>
          <w:rFonts w:ascii="Arial" w:hAnsi="Arial" w:eastAsia="等线" w:cs="Arial"/>
          <w:b/>
          <w:sz w:val="30"/>
        </w:rPr>
        <w:t>1.1.1 复诊日期管理</w:t>
      </w:r>
      <w:bookmarkEnd w:id="2"/>
    </w:p>
    <w:p w14:paraId="0320A65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 xml:space="preserve">         下一次复日期</w:t>
      </w:r>
    </w:p>
    <w:p w14:paraId="6686D02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 xml:space="preserve">         历史复诊安排    </w:t>
      </w:r>
    </w:p>
    <w:p w14:paraId="3FCD3573">
      <w:pPr>
        <w:spacing w:before="320" w:after="120" w:line="288" w:lineRule="auto"/>
        <w:ind w:left="0"/>
        <w:jc w:val="left"/>
        <w:outlineLvl w:val="1"/>
      </w:pPr>
      <w:bookmarkStart w:id="3" w:name="heading_4"/>
      <w:r>
        <w:rPr>
          <w:rFonts w:ascii="Arial" w:hAnsi="Arial" w:eastAsia="等线" w:cs="Arial"/>
          <w:b/>
          <w:sz w:val="32"/>
        </w:rPr>
        <w:t xml:space="preserve">1.2 问卷管理 </w:t>
      </w:r>
      <w:bookmarkEnd w:id="3"/>
    </w:p>
    <w:p w14:paraId="7E2935AE">
      <w:p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1.2.1 问卷</w:t>
      </w:r>
    </w:p>
    <w:p w14:paraId="228CAADA">
      <w:p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1.2.2 时间配置</w:t>
      </w:r>
    </w:p>
    <w:p w14:paraId="1F0D7400">
      <w:pPr>
        <w:spacing w:before="320" w:after="120" w:line="288" w:lineRule="auto"/>
        <w:ind w:left="0"/>
        <w:jc w:val="left"/>
        <w:outlineLvl w:val="1"/>
      </w:pPr>
      <w:bookmarkStart w:id="4" w:name="heading_5"/>
      <w:r>
        <w:rPr>
          <w:rFonts w:ascii="Arial" w:hAnsi="Arial" w:eastAsia="等线" w:cs="Arial"/>
          <w:b/>
          <w:sz w:val="32"/>
        </w:rPr>
        <w:t xml:space="preserve">1.3 随访预警 </w:t>
      </w:r>
      <w:bookmarkEnd w:id="4"/>
    </w:p>
    <w:p w14:paraId="6A32F2FD">
      <w:pPr>
        <w:spacing w:before="300" w:after="120" w:line="288" w:lineRule="auto"/>
        <w:ind w:left="453"/>
        <w:jc w:val="left"/>
        <w:outlineLvl w:val="2"/>
      </w:pPr>
      <w:bookmarkStart w:id="5" w:name="heading_6"/>
      <w:r>
        <w:rPr>
          <w:rFonts w:ascii="Arial" w:hAnsi="Arial" w:eastAsia="等线" w:cs="Arial"/>
          <w:b/>
          <w:sz w:val="30"/>
        </w:rPr>
        <w:t>1.3.1 无：首次评估后第 15 天、后续 7 天无随访</w:t>
      </w:r>
      <w:bookmarkEnd w:id="5"/>
    </w:p>
    <w:p w14:paraId="34D5AA27">
      <w:pPr>
        <w:spacing w:before="300" w:after="120" w:line="288" w:lineRule="auto"/>
        <w:ind w:left="453"/>
        <w:jc w:val="left"/>
        <w:outlineLvl w:val="2"/>
      </w:pPr>
      <w:bookmarkStart w:id="6" w:name="heading_7"/>
      <w:r>
        <w:rPr>
          <w:rFonts w:ascii="Arial" w:hAnsi="Arial" w:eastAsia="等线" w:cs="Arial"/>
          <w:b/>
          <w:sz w:val="30"/>
        </w:rPr>
        <w:t>1.3.2 无：超期预警且 31 天未随访</w:t>
      </w:r>
      <w:bookmarkEnd w:id="6"/>
    </w:p>
    <w:p w14:paraId="3154587A">
      <w:pPr>
        <w:spacing w:before="300" w:after="120" w:line="288" w:lineRule="auto"/>
        <w:ind w:left="453"/>
        <w:jc w:val="left"/>
        <w:outlineLvl w:val="2"/>
      </w:pPr>
      <w:bookmarkStart w:id="7" w:name="heading_8"/>
      <w:r>
        <w:rPr>
          <w:rFonts w:ascii="Arial" w:hAnsi="Arial" w:eastAsia="等线" w:cs="Arial"/>
          <w:b/>
          <w:sz w:val="30"/>
        </w:rPr>
        <w:t>1.3.3 高危：超期预警且 14 天未随访</w:t>
      </w:r>
      <w:bookmarkEnd w:id="7"/>
    </w:p>
    <w:p w14:paraId="78CF620F">
      <w:pPr>
        <w:spacing w:before="300" w:after="120" w:line="288" w:lineRule="auto"/>
        <w:ind w:left="453"/>
        <w:jc w:val="left"/>
        <w:outlineLvl w:val="2"/>
      </w:pPr>
      <w:bookmarkStart w:id="8" w:name="heading_9"/>
      <w:r>
        <w:rPr>
          <w:rFonts w:ascii="Arial" w:hAnsi="Arial" w:eastAsia="等线" w:cs="Arial"/>
          <w:b/>
          <w:sz w:val="30"/>
        </w:rPr>
        <w:t>1.3.4 极高危：超期预警且 7 天未随访</w:t>
      </w:r>
      <w:bookmarkEnd w:id="8"/>
    </w:p>
    <w:p w14:paraId="74D46A5C">
      <w:pPr>
        <w:spacing w:before="300" w:after="120" w:line="288" w:lineRule="auto"/>
        <w:ind w:left="453"/>
        <w:jc w:val="left"/>
        <w:outlineLvl w:val="2"/>
      </w:pPr>
      <w:bookmarkStart w:id="9" w:name="heading_10"/>
      <w:r>
        <w:rPr>
          <w:rFonts w:ascii="Arial" w:hAnsi="Arial" w:eastAsia="等线" w:cs="Arial"/>
          <w:b/>
          <w:sz w:val="30"/>
        </w:rPr>
        <w:t>1.3.5 确认失访：超期预警且 30 天无数据采集</w:t>
      </w:r>
      <w:bookmarkEnd w:id="9"/>
    </w:p>
    <w:p w14:paraId="50B4FE3E">
      <w:pPr>
        <w:spacing w:before="120" w:after="120" w:line="288" w:lineRule="auto"/>
        <w:ind w:left="0"/>
        <w:jc w:val="left"/>
      </w:pPr>
    </w:p>
    <w:p w14:paraId="0234E864">
      <w:pPr>
        <w:spacing w:before="380" w:after="140" w:line="288" w:lineRule="auto"/>
        <w:ind w:left="0"/>
        <w:jc w:val="left"/>
        <w:outlineLvl w:val="0"/>
      </w:pPr>
      <w:bookmarkStart w:id="10" w:name="heading_12"/>
      <w:r>
        <w:rPr>
          <w:rFonts w:hint="eastAsia" w:ascii="Arial" w:hAnsi="Arial" w:eastAsia="等线" w:cs="Arial"/>
          <w:b/>
          <w:sz w:val="36"/>
          <w:lang w:val="en-US" w:eastAsia="zh-CN"/>
        </w:rPr>
        <w:t>2</w:t>
      </w:r>
      <w:r>
        <w:rPr>
          <w:rFonts w:ascii="Arial" w:hAnsi="Arial" w:eastAsia="等线" w:cs="Arial"/>
          <w:b/>
          <w:sz w:val="36"/>
        </w:rPr>
        <w:t>、多模态采集平台</w:t>
      </w:r>
      <w:bookmarkEnd w:id="10"/>
    </w:p>
    <w:p w14:paraId="6D47614E">
      <w:pPr>
        <w:spacing w:before="320" w:after="120" w:line="288" w:lineRule="auto"/>
        <w:ind w:left="0"/>
        <w:jc w:val="left"/>
        <w:outlineLvl w:val="1"/>
      </w:pPr>
      <w:bookmarkStart w:id="11" w:name="heading_13"/>
      <w:r>
        <w:rPr>
          <w:rFonts w:ascii="Arial" w:hAnsi="Arial" w:eastAsia="等线" w:cs="Arial"/>
          <w:b/>
          <w:sz w:val="32"/>
        </w:rPr>
        <w:t>2.1 预采集量表部分</w:t>
      </w:r>
      <w:bookmarkEnd w:id="11"/>
    </w:p>
    <w:p w14:paraId="3E0F1EB0">
      <w:pPr>
        <w:spacing w:before="300" w:after="120" w:line="288" w:lineRule="auto"/>
        <w:ind w:left="0"/>
        <w:jc w:val="left"/>
        <w:outlineLvl w:val="2"/>
      </w:pPr>
      <w:bookmarkStart w:id="12" w:name="heading_14"/>
      <w:r>
        <w:rPr>
          <w:rFonts w:ascii="Arial" w:hAnsi="Arial" w:eastAsia="等线" w:cs="Arial"/>
          <w:b/>
          <w:sz w:val="30"/>
        </w:rPr>
        <w:t xml:space="preserve">2.1.1 个人信息 </w:t>
      </w:r>
      <w:bookmarkEnd w:id="12"/>
    </w:p>
    <w:p w14:paraId="37847CE6">
      <w:pPr>
        <w:numPr>
          <w:ilvl w:val="0"/>
          <w:numId w:val="1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姓名</w:t>
      </w:r>
    </w:p>
    <w:p w14:paraId="007DB738">
      <w:pPr>
        <w:numPr>
          <w:ilvl w:val="0"/>
          <w:numId w:val="2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出生日期</w:t>
      </w:r>
    </w:p>
    <w:p w14:paraId="72977410">
      <w:pPr>
        <w:numPr>
          <w:ilvl w:val="0"/>
          <w:numId w:val="3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民族</w:t>
      </w:r>
    </w:p>
    <w:p w14:paraId="7AF5EF29">
      <w:pPr>
        <w:numPr>
          <w:ilvl w:val="0"/>
          <w:numId w:val="4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学历</w:t>
      </w:r>
    </w:p>
    <w:p w14:paraId="210F2722">
      <w:pPr>
        <w:numPr>
          <w:ilvl w:val="0"/>
          <w:numId w:val="5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疾病诊断标签</w:t>
      </w:r>
    </w:p>
    <w:p w14:paraId="5581B54A">
      <w:pPr>
        <w:numPr>
          <w:ilvl w:val="0"/>
          <w:numId w:val="6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发病 / 确诊日期</w:t>
      </w:r>
    </w:p>
    <w:p w14:paraId="16796EE7">
      <w:pPr>
        <w:numPr>
          <w:ilvl w:val="0"/>
          <w:numId w:val="7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入组日期</w:t>
      </w:r>
    </w:p>
    <w:p w14:paraId="13254100">
      <w:pPr>
        <w:numPr>
          <w:ilvl w:val="0"/>
          <w:numId w:val="8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疾病编码（ICD）</w:t>
      </w:r>
    </w:p>
    <w:p w14:paraId="5A906622">
      <w:pPr>
        <w:numPr>
          <w:ilvl w:val="0"/>
          <w:numId w:val="9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疾病分期（可选填）</w:t>
      </w:r>
    </w:p>
    <w:p w14:paraId="31019228">
      <w:pPr>
        <w:numPr>
          <w:ilvl w:val="0"/>
          <w:numId w:val="10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身高</w:t>
      </w:r>
    </w:p>
    <w:p w14:paraId="3D923EC3">
      <w:pPr>
        <w:numPr>
          <w:ilvl w:val="0"/>
          <w:numId w:val="11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体重</w:t>
      </w:r>
    </w:p>
    <w:p w14:paraId="34822547">
      <w:pPr>
        <w:numPr>
          <w:ilvl w:val="0"/>
          <w:numId w:val="12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职业</w:t>
      </w:r>
    </w:p>
    <w:p w14:paraId="5F49086E">
      <w:pPr>
        <w:numPr>
          <w:ilvl w:val="0"/>
          <w:numId w:val="13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既往史</w:t>
      </w:r>
    </w:p>
    <w:p w14:paraId="3699E329">
      <w:pPr>
        <w:numPr>
          <w:ilvl w:val="0"/>
          <w:numId w:val="14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既往手术史</w:t>
      </w:r>
    </w:p>
    <w:p w14:paraId="16758B64">
      <w:pPr>
        <w:numPr>
          <w:ilvl w:val="0"/>
          <w:numId w:val="15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既往康复史</w:t>
      </w:r>
    </w:p>
    <w:p w14:paraId="7D2713E6">
      <w:pPr>
        <w:numPr>
          <w:ilvl w:val="0"/>
          <w:numId w:val="16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过敏用药</w:t>
      </w:r>
    </w:p>
    <w:p w14:paraId="0B9D79F3">
      <w:pPr>
        <w:spacing w:before="300" w:after="120" w:line="288" w:lineRule="auto"/>
        <w:ind w:left="0"/>
        <w:jc w:val="left"/>
        <w:outlineLvl w:val="2"/>
      </w:pPr>
      <w:bookmarkStart w:id="13" w:name="heading_15"/>
      <w:r>
        <w:rPr>
          <w:rFonts w:ascii="Arial" w:hAnsi="Arial" w:eastAsia="等线" w:cs="Arial"/>
          <w:b/>
          <w:sz w:val="30"/>
        </w:rPr>
        <w:t xml:space="preserve">2.1.2 量表及体格数据信息采集 </w:t>
      </w:r>
      <w:bookmarkEnd w:id="13"/>
    </w:p>
    <w:p w14:paraId="5C4207E1">
      <w:pPr>
        <w:numPr>
          <w:ilvl w:val="0"/>
          <w:numId w:val="17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 xml:space="preserve">评估数据 </w:t>
      </w:r>
    </w:p>
    <w:p w14:paraId="65F3EAE4">
      <w:pPr>
        <w:numPr>
          <w:ilvl w:val="0"/>
          <w:numId w:val="18"/>
        </w:numPr>
        <w:spacing w:before="120" w:after="120" w:line="288" w:lineRule="auto"/>
        <w:ind w:left="907"/>
        <w:jc w:val="left"/>
      </w:pPr>
      <w:r>
        <w:rPr>
          <w:rFonts w:ascii="Arial" w:hAnsi="Arial" w:eastAsia="等线" w:cs="Arial"/>
          <w:sz w:val="22"/>
        </w:rPr>
        <w:t xml:space="preserve">静态评估 </w:t>
      </w:r>
    </w:p>
    <w:p w14:paraId="51D602D0">
      <w:pPr>
        <w:numPr>
          <w:ilvl w:val="0"/>
          <w:numId w:val="19"/>
        </w:numPr>
        <w:spacing w:before="120" w:after="120" w:line="288" w:lineRule="auto"/>
        <w:ind w:left="1360"/>
        <w:jc w:val="left"/>
      </w:pPr>
      <w:r>
        <w:rPr>
          <w:rFonts w:ascii="Arial" w:hAnsi="Arial" w:eastAsia="等线" w:cs="Arial"/>
          <w:sz w:val="22"/>
        </w:rPr>
        <w:t>脊柱侧弯：前后侧全面型 / 右侧弯+Adam前屈位（背面俯拍）</w:t>
      </w:r>
    </w:p>
    <w:p w14:paraId="13735296">
      <w:pPr>
        <w:numPr>
          <w:ilvl w:val="0"/>
          <w:numId w:val="20"/>
        </w:numPr>
        <w:spacing w:before="120" w:after="120" w:line="288" w:lineRule="auto"/>
        <w:ind w:left="1360"/>
        <w:jc w:val="left"/>
      </w:pPr>
      <w:r>
        <w:rPr>
          <w:rFonts w:ascii="Arial" w:hAnsi="Arial" w:eastAsia="等线" w:cs="Arial"/>
          <w:sz w:val="22"/>
        </w:rPr>
        <w:t>颈痛：侧面（FHP头前伸）+后面（肩水平）+正面</w:t>
      </w:r>
    </w:p>
    <w:p w14:paraId="6C886803">
      <w:pPr>
        <w:numPr>
          <w:ilvl w:val="0"/>
          <w:numId w:val="21"/>
        </w:numPr>
        <w:spacing w:before="120" w:after="120" w:line="288" w:lineRule="auto"/>
        <w:ind w:left="1360"/>
        <w:jc w:val="left"/>
      </w:pPr>
      <w:r>
        <w:rPr>
          <w:rFonts w:ascii="Arial" w:hAnsi="Arial" w:eastAsia="等线" w:cs="Arial"/>
          <w:sz w:val="22"/>
        </w:rPr>
        <w:t>腰痛：侧面（腰椎前凸/骨盆倾斜）+后面（脊柱侧面）</w:t>
      </w:r>
    </w:p>
    <w:p w14:paraId="3C10F07A">
      <w:pPr>
        <w:numPr>
          <w:ilvl w:val="0"/>
          <w:numId w:val="22"/>
        </w:numPr>
        <w:spacing w:before="120" w:after="120" w:line="288" w:lineRule="auto"/>
        <w:ind w:left="1360"/>
        <w:jc w:val="left"/>
      </w:pPr>
      <w:r>
        <w:rPr>
          <w:rFonts w:ascii="Arial" w:hAnsi="Arial" w:eastAsia="等线" w:cs="Arial"/>
          <w:sz w:val="22"/>
        </w:rPr>
        <w:t>肩痛：后面（肩胛骨位置）+侧面（圆肩）+正面</w:t>
      </w:r>
    </w:p>
    <w:p w14:paraId="52182108">
      <w:pPr>
        <w:numPr>
          <w:ilvl w:val="0"/>
          <w:numId w:val="23"/>
        </w:numPr>
        <w:spacing w:before="120" w:after="120" w:line="288" w:lineRule="auto"/>
        <w:ind w:left="1360"/>
        <w:jc w:val="left"/>
      </w:pPr>
      <w:r>
        <w:rPr>
          <w:rFonts w:ascii="Arial" w:hAnsi="Arial" w:eastAsia="等线" w:cs="Arial"/>
          <w:sz w:val="22"/>
        </w:rPr>
        <w:t>膝痛：正面（下肢力线/Q角）+侧面（膝过伸）+后面（腋窝）</w:t>
      </w:r>
    </w:p>
    <w:p w14:paraId="0443B2C1">
      <w:pPr>
        <w:numPr>
          <w:ilvl w:val="0"/>
          <w:numId w:val="24"/>
        </w:numPr>
        <w:spacing w:before="120" w:after="120" w:line="288" w:lineRule="auto"/>
        <w:ind w:left="1360"/>
        <w:jc w:val="left"/>
      </w:pPr>
      <w:r>
        <w:rPr>
          <w:rFonts w:ascii="Arial" w:hAnsi="Arial" w:eastAsia="等线" w:cs="Arial"/>
          <w:sz w:val="22"/>
        </w:rPr>
        <w:t>ASD 正面/侧面（姿势）</w:t>
      </w:r>
    </w:p>
    <w:p w14:paraId="3EABF6DF">
      <w:pPr>
        <w:numPr>
          <w:ilvl w:val="0"/>
          <w:numId w:val="25"/>
        </w:numPr>
        <w:spacing w:before="120" w:after="120" w:line="288" w:lineRule="auto"/>
        <w:ind w:left="1360"/>
        <w:jc w:val="left"/>
      </w:pPr>
      <w:r>
        <w:rPr>
          <w:rFonts w:ascii="Arial" w:hAnsi="Arial" w:eastAsia="等线" w:cs="Arial"/>
          <w:sz w:val="22"/>
        </w:rPr>
        <w:t>踝痛：后面（后足力线/足跟外翻角）</w:t>
      </w:r>
    </w:p>
    <w:p w14:paraId="3295B1C5">
      <w:pPr>
        <w:numPr>
          <w:ilvl w:val="0"/>
          <w:numId w:val="26"/>
        </w:numPr>
        <w:spacing w:before="120" w:after="120" w:line="288" w:lineRule="auto"/>
        <w:ind w:left="1360"/>
        <w:jc w:val="left"/>
      </w:pPr>
      <w:r>
        <w:rPr>
          <w:rFonts w:ascii="Arial" w:hAnsi="Arial" w:eastAsia="等线" w:cs="Arial"/>
          <w:sz w:val="22"/>
        </w:rPr>
        <w:t>网球肘 肘外侧特写（肿胀/萎缩）</w:t>
      </w:r>
    </w:p>
    <w:p w14:paraId="7DF0E8A8">
      <w:pPr>
        <w:numPr>
          <w:ilvl w:val="0"/>
          <w:numId w:val="27"/>
        </w:numPr>
        <w:spacing w:before="120" w:after="120" w:line="288" w:lineRule="auto"/>
        <w:ind w:left="1360"/>
        <w:jc w:val="left"/>
      </w:pPr>
      <w:r>
        <w:rPr>
          <w:rFonts w:ascii="Arial" w:hAnsi="Arial" w:eastAsia="等线" w:cs="Arial"/>
          <w:sz w:val="22"/>
        </w:rPr>
        <w:t>肩胛N：症状侧、职业（久坐/上肢重复）、颈椎病史、既往针刺/推拿反应</w:t>
      </w:r>
    </w:p>
    <w:p w14:paraId="1EBBA0D5">
      <w:pPr>
        <w:numPr>
          <w:ilvl w:val="0"/>
          <w:numId w:val="28"/>
        </w:numPr>
        <w:spacing w:before="120" w:after="120" w:line="288" w:lineRule="auto"/>
        <w:ind w:left="1360"/>
        <w:jc w:val="left"/>
      </w:pPr>
      <w:r>
        <w:rPr>
          <w:rFonts w:ascii="Arial" w:hAnsi="Arial" w:eastAsia="等线" w:cs="Arial"/>
          <w:sz w:val="22"/>
        </w:rPr>
        <w:t>腕痛：腕部特写（肿胀/畸形/萎缩）</w:t>
      </w:r>
    </w:p>
    <w:p w14:paraId="24C2FBDB">
      <w:pPr>
        <w:numPr>
          <w:ilvl w:val="0"/>
          <w:numId w:val="29"/>
        </w:numPr>
        <w:spacing w:before="120" w:after="120" w:line="288" w:lineRule="auto"/>
        <w:ind w:left="1360"/>
        <w:jc w:val="left"/>
      </w:pPr>
      <w:r>
        <w:rPr>
          <w:rFonts w:ascii="Arial" w:hAnsi="Arial" w:eastAsia="等线" w:cs="Arial"/>
          <w:sz w:val="22"/>
        </w:rPr>
        <w:t>髋痛：正面+侧面站立（骨盆倾斜/下肢力线）</w:t>
      </w:r>
    </w:p>
    <w:p w14:paraId="27C99BB5">
      <w:pPr>
        <w:spacing w:before="300" w:after="120" w:line="288" w:lineRule="auto"/>
        <w:ind w:left="0"/>
        <w:jc w:val="left"/>
        <w:outlineLvl w:val="2"/>
      </w:pPr>
      <w:bookmarkStart w:id="14" w:name="heading_16"/>
      <w:r>
        <w:rPr>
          <w:rFonts w:ascii="Arial" w:hAnsi="Arial" w:eastAsia="等线" w:cs="Arial"/>
          <w:b/>
          <w:sz w:val="30"/>
        </w:rPr>
        <w:t>2.1.3 体格检查数据</w:t>
      </w:r>
      <w:bookmarkEnd w:id="14"/>
    </w:p>
    <w:p w14:paraId="2CF06381">
      <w:pPr>
        <w:spacing w:before="300" w:after="120" w:line="288" w:lineRule="auto"/>
        <w:ind w:left="0"/>
        <w:jc w:val="left"/>
        <w:outlineLvl w:val="2"/>
      </w:pPr>
      <w:bookmarkStart w:id="15" w:name="heading_17"/>
      <w:r>
        <w:rPr>
          <w:rFonts w:ascii="Arial" w:hAnsi="Arial" w:eastAsia="等线" w:cs="Arial"/>
          <w:b/>
          <w:sz w:val="30"/>
        </w:rPr>
        <w:t>2.1.4 量表数据</w:t>
      </w:r>
      <w:bookmarkEnd w:id="15"/>
    </w:p>
    <w:p w14:paraId="4588960C">
      <w:pPr>
        <w:spacing w:before="300" w:after="120" w:line="288" w:lineRule="auto"/>
        <w:ind w:left="0"/>
        <w:jc w:val="left"/>
        <w:outlineLvl w:val="2"/>
      </w:pPr>
      <w:bookmarkStart w:id="16" w:name="heading_18"/>
      <w:r>
        <w:rPr>
          <w:rFonts w:ascii="Arial" w:hAnsi="Arial" w:eastAsia="等线" w:cs="Arial"/>
          <w:b/>
          <w:sz w:val="30"/>
        </w:rPr>
        <w:t>2.1.5 X线/CT/MRI/超声数据上传</w:t>
      </w:r>
      <w:bookmarkEnd w:id="16"/>
    </w:p>
    <w:p w14:paraId="4908129B">
      <w:pPr>
        <w:spacing w:before="320" w:after="120" w:line="288" w:lineRule="auto"/>
        <w:ind w:left="0"/>
        <w:jc w:val="left"/>
        <w:outlineLvl w:val="1"/>
      </w:pPr>
      <w:bookmarkStart w:id="17" w:name="heading_19"/>
      <w:r>
        <w:rPr>
          <w:rFonts w:ascii="Arial" w:hAnsi="Arial" w:eastAsia="等线" w:cs="Arial"/>
          <w:b/>
          <w:sz w:val="32"/>
        </w:rPr>
        <w:t>2.2 通用评估维度</w:t>
      </w:r>
      <w:bookmarkEnd w:id="17"/>
    </w:p>
    <w:p w14:paraId="1A672A65">
      <w:bookmarkStart w:id="18" w:name="heading_20"/>
      <w:r>
        <w:t>2.2.1 疼痛VAS/NRS全部（ASD需家长代评）</w:t>
      </w:r>
      <w:bookmarkEnd w:id="18"/>
    </w:p>
    <w:p w14:paraId="5333A17E">
      <w:bookmarkStart w:id="19" w:name="heading_21"/>
      <w:r>
        <w:t>2.2.2 关节活动度（ROM）量角器/电子角度计 全部8种</w:t>
      </w:r>
      <w:bookmarkEnd w:id="19"/>
    </w:p>
    <w:p w14:paraId="6A593485">
      <w:bookmarkStart w:id="20" w:name="heading_22"/>
      <w:r>
        <w:t>2.2.3 肌力MMT/Lovett(病房)+手持测力计（门诊）全部8种</w:t>
      </w:r>
      <w:bookmarkEnd w:id="20"/>
    </w:p>
    <w:p w14:paraId="036E2947">
      <w:bookmarkStart w:id="21" w:name="heading_23"/>
      <w:r>
        <w:t>2.2.4 生活质量SF-36/EQ-5D-5L全部8种（儿童PedsQL）</w:t>
      </w:r>
      <w:bookmarkEnd w:id="21"/>
    </w:p>
    <w:p w14:paraId="083DFE97">
      <w:bookmarkStart w:id="22" w:name="heading_24"/>
      <w:r>
        <w:t>2.2.5 情绪/心理PHQ-9/GAD-7全部（ASD用SRS-2）</w:t>
      </w:r>
      <w:bookmarkEnd w:id="22"/>
    </w:p>
    <w:p w14:paraId="7C0C6239">
      <w:bookmarkStart w:id="23" w:name="heading_25"/>
      <w:r>
        <w:t>2.2.6 功能独立性FIM/MBI(病房)/病种特异功能量表全部</w:t>
      </w:r>
      <w:bookmarkEnd w:id="23"/>
    </w:p>
    <w:p w14:paraId="69A9DE26">
      <w:pPr>
        <w:spacing w:before="120" w:after="120" w:line="288" w:lineRule="auto"/>
        <w:ind w:left="453"/>
        <w:jc w:val="left"/>
      </w:pPr>
    </w:p>
    <w:p w14:paraId="626CD5B4">
      <w:pPr>
        <w:spacing w:before="320" w:after="120" w:line="288" w:lineRule="auto"/>
        <w:ind w:left="0"/>
        <w:jc w:val="left"/>
        <w:outlineLvl w:val="1"/>
      </w:pPr>
      <w:bookmarkStart w:id="24" w:name="heading_26"/>
      <w:r>
        <w:rPr>
          <w:rFonts w:ascii="Arial" w:hAnsi="Arial" w:eastAsia="等线" w:cs="Arial"/>
          <w:b/>
          <w:sz w:val="32"/>
        </w:rPr>
        <w:t>2.3 多视图对多模态数据进行管理</w:t>
      </w:r>
      <w:bookmarkEnd w:id="24"/>
    </w:p>
    <w:p w14:paraId="22EC0487">
      <w:bookmarkStart w:id="25" w:name="heading_27"/>
      <w:r>
        <w:t>2.3.1 按数据类型视图</w:t>
      </w:r>
      <w:bookmarkEnd w:id="25"/>
    </w:p>
    <w:p w14:paraId="65BF39EB">
      <w:bookmarkStart w:id="26" w:name="heading_28"/>
      <w:r>
        <w:t>2.3.2 按患者类型视图</w:t>
      </w:r>
      <w:bookmarkEnd w:id="26"/>
    </w:p>
    <w:p w14:paraId="29FBC878">
      <w:bookmarkStart w:id="27" w:name="heading_29"/>
      <w:r>
        <w:t>2.3.3 按疼痛位置视图</w:t>
      </w:r>
      <w:bookmarkEnd w:id="27"/>
    </w:p>
    <w:p w14:paraId="69501BF8"/>
    <w:p w14:paraId="22B6BFF1">
      <w:pPr>
        <w:spacing w:before="320" w:after="120" w:line="288" w:lineRule="auto"/>
        <w:ind w:left="0"/>
        <w:jc w:val="left"/>
        <w:outlineLvl w:val="1"/>
      </w:pPr>
      <w:bookmarkStart w:id="28" w:name="heading_30"/>
      <w:r>
        <w:rPr>
          <w:rFonts w:ascii="Arial" w:hAnsi="Arial" w:eastAsia="等线" w:cs="Arial"/>
          <w:b/>
          <w:sz w:val="32"/>
        </w:rPr>
        <w:t>2.4.预算：</w:t>
      </w:r>
      <w:bookmarkEnd w:id="28"/>
    </w:p>
    <w:p w14:paraId="446DC6BC">
      <w:p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因部分模块我们已经有了，研发费用和建设费用预算4万</w:t>
      </w:r>
    </w:p>
    <w:p w14:paraId="04893767">
      <w:pPr>
        <w:spacing w:before="380" w:after="140" w:line="288" w:lineRule="auto"/>
        <w:ind w:left="0"/>
        <w:jc w:val="left"/>
        <w:outlineLvl w:val="0"/>
      </w:pPr>
      <w:bookmarkStart w:id="29" w:name="heading_31"/>
      <w:r>
        <w:rPr>
          <w:rFonts w:hint="eastAsia" w:ascii="Arial" w:hAnsi="Arial" w:eastAsia="等线" w:cs="Arial"/>
          <w:b/>
          <w:sz w:val="36"/>
          <w:lang w:val="en-US" w:eastAsia="zh-CN"/>
        </w:rPr>
        <w:t>3</w:t>
      </w:r>
      <w:r>
        <w:rPr>
          <w:rFonts w:ascii="Arial" w:hAnsi="Arial" w:eastAsia="等线" w:cs="Arial"/>
          <w:b/>
          <w:sz w:val="36"/>
        </w:rPr>
        <w:t>、动作采集评估与分析系统</w:t>
      </w:r>
      <w:bookmarkEnd w:id="29"/>
    </w:p>
    <w:p w14:paraId="1BAF8316">
      <w:pPr>
        <w:spacing w:before="320" w:after="120" w:line="288" w:lineRule="auto"/>
        <w:ind w:left="0"/>
        <w:jc w:val="left"/>
        <w:outlineLvl w:val="1"/>
      </w:pPr>
      <w:bookmarkStart w:id="30" w:name="heading_32"/>
      <w:r>
        <w:rPr>
          <w:rFonts w:ascii="Arial" w:hAnsi="Arial" w:eastAsia="等线" w:cs="Arial"/>
          <w:b/>
          <w:sz w:val="32"/>
        </w:rPr>
        <w:t>3.1 硬件</w:t>
      </w:r>
      <w:bookmarkEnd w:id="30"/>
    </w:p>
    <w:p w14:paraId="3E245BB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 xml:space="preserve">     双目摄像头</w:t>
      </w:r>
    </w:p>
    <w:p w14:paraId="3BC6BAC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 xml:space="preserve">     本地AI盒子（选配）或云端算力</w:t>
      </w:r>
    </w:p>
    <w:p w14:paraId="3217FAA3">
      <w:pPr>
        <w:spacing w:before="320" w:after="120" w:line="288" w:lineRule="auto"/>
        <w:ind w:left="0"/>
        <w:jc w:val="left"/>
        <w:outlineLvl w:val="1"/>
      </w:pPr>
      <w:bookmarkStart w:id="31" w:name="heading_33"/>
      <w:r>
        <w:rPr>
          <w:rFonts w:ascii="Arial" w:hAnsi="Arial" w:eastAsia="等线" w:cs="Arial"/>
          <w:b/>
          <w:sz w:val="32"/>
        </w:rPr>
        <w:t>3.2 软件</w:t>
      </w:r>
      <w:bookmarkEnd w:id="31"/>
    </w:p>
    <w:p w14:paraId="18ACE6A0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  <w:bookmarkStart w:id="32" w:name="heading_34"/>
      <w:r>
        <w:rPr>
          <w:rFonts w:ascii="Arial" w:hAnsi="Arial" w:eastAsia="等线" w:cs="Arial"/>
          <w:sz w:val="22"/>
        </w:rPr>
        <w:t>3.2.1 扫码登陆注册</w:t>
      </w:r>
      <w:bookmarkEnd w:id="32"/>
    </w:p>
    <w:p w14:paraId="4D4A83AD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  <w:bookmarkStart w:id="33" w:name="heading_35"/>
      <w:r>
        <w:rPr>
          <w:rFonts w:ascii="Arial" w:hAnsi="Arial" w:eastAsia="等线" w:cs="Arial"/>
          <w:sz w:val="22"/>
        </w:rPr>
        <w:t>3.2.2 AI动作数据采集与评估</w:t>
      </w:r>
      <w:bookmarkEnd w:id="33"/>
    </w:p>
    <w:p w14:paraId="6C6E109D">
      <w:pPr>
        <w:spacing w:before="120" w:after="120" w:line="288" w:lineRule="auto"/>
        <w:ind w:left="0"/>
        <w:jc w:val="left"/>
        <w:rPr>
          <w:rFonts w:hint="eastAsia" w:ascii="Arial" w:hAnsi="Arial" w:eastAsia="等线" w:cs="Arial"/>
          <w:sz w:val="22"/>
          <w:lang w:val="en-US" w:eastAsia="zh-CN"/>
        </w:rPr>
      </w:pPr>
      <w:r>
        <w:rPr>
          <w:rFonts w:ascii="Arial" w:hAnsi="Arial" w:eastAsia="等线" w:cs="Arial"/>
          <w:sz w:val="22"/>
        </w:rPr>
        <w:t xml:space="preserve"> 动作类型：静态站立体态、步态分析、下蹲、单腿站立、弓步、抬腿、坐站转换、肩外展、颈椎ROM、弯腰-回直</w:t>
      </w:r>
      <w:r>
        <w:rPr>
          <w:rFonts w:hint="eastAsia" w:ascii="Arial" w:hAnsi="Arial" w:eastAsia="等线" w:cs="Arial"/>
          <w:sz w:val="22"/>
          <w:lang w:val="en-US" w:eastAsia="zh-CN"/>
        </w:rPr>
        <w:t>等</w:t>
      </w:r>
    </w:p>
    <w:p w14:paraId="43BA56A6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  <w:bookmarkStart w:id="34" w:name="heading_36"/>
      <w:r>
        <w:rPr>
          <w:rFonts w:ascii="Arial" w:hAnsi="Arial" w:eastAsia="等线" w:cs="Arial"/>
          <w:sz w:val="22"/>
        </w:rPr>
        <w:t>3.2.3 报告功能：</w:t>
      </w:r>
      <w:bookmarkEnd w:id="34"/>
    </w:p>
    <w:p w14:paraId="6A6E6E76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sz w:val="22"/>
        </w:rPr>
        <w:t xml:space="preserve">   生成报告</w:t>
      </w:r>
    </w:p>
    <w:p w14:paraId="29D1952D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sz w:val="22"/>
        </w:rPr>
        <w:t>历史报告对比</w:t>
      </w:r>
    </w:p>
    <w:p w14:paraId="6BF44D87">
      <w:pPr>
        <w:spacing w:before="320" w:after="120" w:line="288" w:lineRule="auto"/>
        <w:ind w:left="0"/>
        <w:jc w:val="left"/>
        <w:outlineLvl w:val="1"/>
        <w:rPr>
          <w:rFonts w:hint="default" w:ascii="Arial" w:hAnsi="Arial" w:eastAsia="等线" w:cs="Arial"/>
          <w:b/>
          <w:sz w:val="32"/>
          <w:lang w:val="en-US" w:eastAsia="zh-CN"/>
        </w:rPr>
      </w:pPr>
      <w:r>
        <w:rPr>
          <w:rFonts w:hint="eastAsia" w:ascii="Arial" w:hAnsi="Arial" w:eastAsia="等线" w:cs="Arial"/>
          <w:b/>
          <w:sz w:val="32"/>
          <w:lang w:val="en-US" w:eastAsia="zh-CN"/>
        </w:rPr>
        <w:t>3.3 AI模型预置到AI算力盒子</w:t>
      </w:r>
    </w:p>
    <w:p w14:paraId="09411661">
      <w:pPr>
        <w:spacing w:before="120" w:after="120" w:line="288" w:lineRule="auto"/>
        <w:jc w:val="left"/>
        <w:rPr>
          <w:rFonts w:hint="eastAsia" w:ascii="Arial" w:hAnsi="Arial" w:eastAsia="等线" w:cs="Arial"/>
          <w:sz w:val="22"/>
          <w:lang w:val="en-US" w:eastAsia="zh-CN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 xml:space="preserve">   AI算力盒子参数：</w:t>
      </w:r>
    </w:p>
    <w:p w14:paraId="2C8952B7">
      <w:pPr>
        <w:spacing w:before="120" w:after="120" w:line="288" w:lineRule="auto"/>
        <w:jc w:val="left"/>
        <w:rPr>
          <w:rFonts w:hint="default" w:ascii="Arial" w:hAnsi="Arial" w:eastAsia="等线" w:cs="Arial"/>
          <w:sz w:val="22"/>
          <w:lang w:val="en-US" w:eastAsia="zh-CN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 xml:space="preserve">        1.摩尔线程长江SOC CPU 8核，全大核2.65Hz，AI 50TOPS DENSE INT8算力，GPU 全功能GPU，高性能3D渲染、端侧推理、多精度支持，工作环境温度0℃-40℃，连续稳定运行48小时无宕机、无硬件故障；接口完好、供电正常。</w:t>
      </w:r>
    </w:p>
    <w:p w14:paraId="246D9486">
      <w:pPr>
        <w:spacing w:before="120" w:after="120" w:line="288" w:lineRule="auto"/>
        <w:jc w:val="left"/>
        <w:rPr>
          <w:rFonts w:hint="default" w:ascii="Arial" w:hAnsi="Arial" w:eastAsia="等线" w:cs="Arial"/>
          <w:sz w:val="22"/>
          <w:lang w:val="en-US" w:eastAsia="zh-CN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 xml:space="preserve">       2.基于MUSA体系移植的模型</w:t>
      </w:r>
    </w:p>
    <w:p w14:paraId="2A292E36">
      <w:pPr>
        <w:spacing w:before="120" w:after="120" w:line="288" w:lineRule="auto"/>
        <w:ind w:left="0"/>
        <w:jc w:val="left"/>
      </w:pPr>
    </w:p>
    <w:p w14:paraId="7EE05DE3">
      <w:pPr>
        <w:spacing w:before="120" w:after="120" w:line="288" w:lineRule="auto"/>
        <w:ind w:left="0"/>
        <w:jc w:val="left"/>
      </w:pPr>
    </w:p>
    <w:p w14:paraId="7B0948E4">
      <w:pPr>
        <w:spacing w:before="380" w:after="140" w:line="288" w:lineRule="auto"/>
        <w:ind w:left="0"/>
        <w:jc w:val="left"/>
        <w:outlineLvl w:val="0"/>
      </w:pPr>
      <w:bookmarkStart w:id="35" w:name="heading_38"/>
      <w:r>
        <w:rPr>
          <w:rFonts w:hint="eastAsia" w:ascii="Arial" w:hAnsi="Arial" w:eastAsia="等线" w:cs="Arial"/>
          <w:b/>
          <w:sz w:val="36"/>
          <w:lang w:val="en-US" w:eastAsia="zh-CN"/>
        </w:rPr>
        <w:t>4</w:t>
      </w:r>
      <w:r>
        <w:rPr>
          <w:rFonts w:ascii="Arial" w:hAnsi="Arial" w:eastAsia="等线" w:cs="Arial"/>
          <w:b/>
          <w:sz w:val="36"/>
        </w:rPr>
        <w:t>、AI脊柱侧弯评估系统</w:t>
      </w:r>
      <w:bookmarkEnd w:id="35"/>
    </w:p>
    <w:p w14:paraId="34A7B111">
      <w:pPr>
        <w:spacing w:before="320" w:after="120" w:line="288" w:lineRule="auto"/>
        <w:ind w:left="0"/>
        <w:jc w:val="left"/>
        <w:outlineLvl w:val="1"/>
      </w:pPr>
      <w:bookmarkStart w:id="36" w:name="heading_39"/>
      <w:r>
        <w:rPr>
          <w:rFonts w:hint="eastAsia" w:ascii="Arial" w:hAnsi="Arial" w:eastAsia="等线" w:cs="Arial"/>
          <w:b/>
          <w:sz w:val="32"/>
          <w:lang w:val="en-US" w:eastAsia="zh-CN"/>
        </w:rPr>
        <w:t>4.1</w:t>
      </w:r>
      <w:r>
        <w:rPr>
          <w:rFonts w:ascii="Arial" w:hAnsi="Arial" w:eastAsia="等线" w:cs="Arial"/>
          <w:b/>
          <w:sz w:val="32"/>
        </w:rPr>
        <w:t>自动生成脊柱侧弯风险因子</w:t>
      </w:r>
      <w:bookmarkEnd w:id="36"/>
    </w:p>
    <w:p w14:paraId="5C4286AE">
      <w:pPr>
        <w:spacing w:before="320" w:after="120" w:line="288" w:lineRule="auto"/>
        <w:ind w:left="0"/>
        <w:jc w:val="left"/>
        <w:outlineLvl w:val="1"/>
      </w:pPr>
      <w:bookmarkStart w:id="37" w:name="heading_40"/>
      <w:r>
        <w:rPr>
          <w:rFonts w:hint="eastAsia" w:ascii="Arial" w:hAnsi="Arial" w:eastAsia="等线" w:cs="Arial"/>
          <w:b/>
          <w:sz w:val="32"/>
          <w:lang w:val="en-US" w:eastAsia="zh-CN"/>
        </w:rPr>
        <w:t xml:space="preserve">4.2 </w:t>
      </w:r>
      <w:r>
        <w:rPr>
          <w:rFonts w:ascii="Arial" w:hAnsi="Arial" w:eastAsia="等线" w:cs="Arial"/>
          <w:b/>
          <w:sz w:val="32"/>
        </w:rPr>
        <w:t>ATR角记录</w:t>
      </w:r>
      <w:bookmarkEnd w:id="37"/>
    </w:p>
    <w:p w14:paraId="743FE896">
      <w:pPr>
        <w:spacing w:before="320" w:after="120" w:line="288" w:lineRule="auto"/>
        <w:ind w:left="0"/>
        <w:jc w:val="left"/>
        <w:outlineLvl w:val="1"/>
      </w:pPr>
      <w:bookmarkStart w:id="38" w:name="heading_41"/>
      <w:r>
        <w:rPr>
          <w:rFonts w:hint="eastAsia" w:ascii="Arial" w:hAnsi="Arial" w:eastAsia="等线" w:cs="Arial"/>
          <w:b/>
          <w:sz w:val="32"/>
          <w:lang w:val="en-US" w:eastAsia="zh-CN"/>
        </w:rPr>
        <w:t>4.</w:t>
      </w:r>
      <w:r>
        <w:rPr>
          <w:rFonts w:ascii="Arial" w:hAnsi="Arial" w:eastAsia="等线" w:cs="Arial"/>
          <w:b/>
          <w:sz w:val="32"/>
        </w:rPr>
        <w:t>3</w:t>
      </w:r>
      <w:r>
        <w:rPr>
          <w:rFonts w:hint="eastAsia" w:ascii="Arial" w:hAnsi="Arial" w:eastAsia="等线" w:cs="Arial"/>
          <w:b/>
          <w:sz w:val="32"/>
          <w:lang w:val="en-US" w:eastAsia="zh-CN"/>
        </w:rPr>
        <w:t xml:space="preserve"> </w:t>
      </w:r>
      <w:r>
        <w:rPr>
          <w:rFonts w:ascii="Arial" w:hAnsi="Arial" w:eastAsia="等线" w:cs="Arial"/>
          <w:b/>
          <w:sz w:val="32"/>
        </w:rPr>
        <w:t>双目摄像头体态评估</w:t>
      </w:r>
      <w:bookmarkEnd w:id="38"/>
    </w:p>
    <w:p w14:paraId="37544517">
      <w:pPr>
        <w:spacing w:before="320" w:after="120" w:line="288" w:lineRule="auto"/>
        <w:ind w:left="0"/>
        <w:jc w:val="left"/>
        <w:outlineLvl w:val="1"/>
      </w:pPr>
      <w:bookmarkStart w:id="39" w:name="heading_42"/>
      <w:r>
        <w:rPr>
          <w:rFonts w:ascii="Arial" w:hAnsi="Arial" w:eastAsia="等线" w:cs="Arial"/>
          <w:b/>
          <w:sz w:val="32"/>
        </w:rPr>
        <w:t>4.</w:t>
      </w:r>
      <w:r>
        <w:rPr>
          <w:rFonts w:hint="eastAsia" w:ascii="Arial" w:hAnsi="Arial" w:eastAsia="等线" w:cs="Arial"/>
          <w:b/>
          <w:sz w:val="32"/>
          <w:lang w:val="en-US" w:eastAsia="zh-CN"/>
        </w:rPr>
        <w:t xml:space="preserve">4 </w:t>
      </w:r>
      <w:r>
        <w:rPr>
          <w:rFonts w:ascii="Arial" w:hAnsi="Arial" w:eastAsia="等线" w:cs="Arial"/>
          <w:b/>
          <w:sz w:val="32"/>
        </w:rPr>
        <w:t>X光片植入</w:t>
      </w:r>
      <w:bookmarkEnd w:id="39"/>
    </w:p>
    <w:p w14:paraId="2173872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 xml:space="preserve">    画线后自动测量Cobb角</w:t>
      </w:r>
    </w:p>
    <w:p w14:paraId="6BE3034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 xml:space="preserve">    脊柱中轴线偏移判定（骶骨中垂线与C7铅垂线区域距离的判定）</w:t>
      </w:r>
    </w:p>
    <w:p w14:paraId="417783C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 xml:space="preserve">    骨盆水平判定（髂前上棘连线与水平线夹角做骨盆倾斜角判定）</w:t>
      </w:r>
    </w:p>
    <w:p w14:paraId="0F39936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 xml:space="preserve">    Risser征自动判读</w:t>
      </w:r>
    </w:p>
    <w:p w14:paraId="1523168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 xml:space="preserve">    患者身体疼痛点标记</w:t>
      </w:r>
    </w:p>
    <w:p w14:paraId="00FD3FF1">
      <w:pPr>
        <w:spacing w:before="320" w:after="120" w:line="288" w:lineRule="auto"/>
        <w:ind w:left="0"/>
        <w:jc w:val="left"/>
        <w:outlineLvl w:val="1"/>
      </w:pPr>
      <w:bookmarkStart w:id="40" w:name="heading_43"/>
      <w:r>
        <w:rPr>
          <w:rFonts w:hint="eastAsia" w:ascii="Arial" w:hAnsi="Arial" w:eastAsia="等线" w:cs="Arial"/>
          <w:b/>
          <w:sz w:val="32"/>
          <w:lang w:val="en-US" w:eastAsia="zh-CN"/>
        </w:rPr>
        <w:t xml:space="preserve">4.5 </w:t>
      </w:r>
      <w:r>
        <w:rPr>
          <w:rFonts w:ascii="Arial" w:hAnsi="Arial" w:eastAsia="等线" w:cs="Arial"/>
          <w:b/>
          <w:sz w:val="32"/>
        </w:rPr>
        <w:t xml:space="preserve">数据统计分析和报表输出 </w:t>
      </w:r>
      <w:bookmarkEnd w:id="40"/>
    </w:p>
    <w:p w14:paraId="5877B9A1">
      <w:pPr>
        <w:spacing w:before="120" w:after="120" w:line="288" w:lineRule="auto"/>
        <w:ind w:left="0"/>
        <w:jc w:val="left"/>
      </w:pPr>
    </w:p>
    <w:p w14:paraId="739BEC25">
      <w:pPr>
        <w:spacing w:before="380" w:after="140" w:line="288" w:lineRule="auto"/>
        <w:ind w:left="0"/>
        <w:jc w:val="left"/>
        <w:outlineLvl w:val="0"/>
      </w:pPr>
      <w:bookmarkStart w:id="41" w:name="heading_45"/>
      <w:r>
        <w:rPr>
          <w:rFonts w:hint="eastAsia" w:ascii="Arial" w:hAnsi="Arial" w:eastAsia="等线" w:cs="Arial"/>
          <w:b/>
          <w:sz w:val="36"/>
          <w:lang w:val="en-US" w:eastAsia="zh-CN"/>
        </w:rPr>
        <w:t>5</w:t>
      </w:r>
      <w:r>
        <w:rPr>
          <w:rFonts w:ascii="Arial" w:hAnsi="Arial" w:eastAsia="等线" w:cs="Arial"/>
          <w:b/>
          <w:sz w:val="36"/>
        </w:rPr>
        <w:t>、耳迷平台</w:t>
      </w:r>
      <w:bookmarkEnd w:id="41"/>
    </w:p>
    <w:p w14:paraId="5055E720">
      <w:pPr>
        <w:spacing w:before="320" w:after="120" w:line="288" w:lineRule="auto"/>
        <w:ind w:left="0"/>
        <w:jc w:val="left"/>
        <w:outlineLvl w:val="1"/>
      </w:pPr>
      <w:bookmarkStart w:id="42" w:name="heading_46"/>
      <w:r>
        <w:rPr>
          <w:rFonts w:hint="eastAsia" w:ascii="Arial" w:hAnsi="Arial" w:eastAsia="等线" w:cs="Arial"/>
          <w:b/>
          <w:sz w:val="32"/>
          <w:lang w:val="en-US" w:eastAsia="zh-CN"/>
        </w:rPr>
        <w:t>5.1</w:t>
      </w:r>
      <w:r>
        <w:rPr>
          <w:rFonts w:ascii="Arial" w:hAnsi="Arial" w:eastAsia="等线" w:cs="Arial"/>
          <w:b/>
          <w:sz w:val="32"/>
        </w:rPr>
        <w:t>科研参数设置</w:t>
      </w:r>
      <w:bookmarkEnd w:id="42"/>
    </w:p>
    <w:p w14:paraId="40C4F550">
      <w:pPr>
        <w:spacing w:before="120" w:after="120" w:line="288" w:lineRule="auto"/>
        <w:ind w:left="0"/>
        <w:jc w:val="left"/>
        <w:rPr>
          <w:rFonts w:hint="default" w:ascii="Arial" w:hAnsi="Arial" w:eastAsia="等线" w:cs="Arial"/>
          <w:sz w:val="22"/>
          <w:lang w:val="en-US" w:eastAsia="zh-CN"/>
        </w:rPr>
      </w:pPr>
      <w:r>
        <w:rPr>
          <w:rFonts w:ascii="Arial" w:hAnsi="Arial" w:eastAsia="等线" w:cs="Arial"/>
          <w:sz w:val="22"/>
        </w:rPr>
        <w:t>针对科研场景需要针对不同疾病和症状研究，可在平台上对耳迷设备设置对应的治疗参数设置，单向波、双向波、脉冲宽度、刺激频率、强度档位、治疗时长</w:t>
      </w:r>
      <w:r>
        <w:rPr>
          <w:rFonts w:hint="eastAsia" w:ascii="Arial" w:hAnsi="Arial" w:eastAsia="等线" w:cs="Arial"/>
          <w:sz w:val="22"/>
          <w:lang w:eastAsia="zh-CN"/>
        </w:rPr>
        <w:t>。</w:t>
      </w:r>
      <w:r>
        <w:rPr>
          <w:rFonts w:hint="eastAsia" w:ascii="Arial" w:hAnsi="Arial" w:eastAsia="等线" w:cs="Arial"/>
          <w:sz w:val="22"/>
          <w:lang w:val="en-US" w:eastAsia="zh-CN"/>
        </w:rPr>
        <w:t>耳迷设备端通过平台参数设置后，能立即生效，按照如下参数方式进行工作。</w:t>
      </w:r>
    </w:p>
    <w:p w14:paraId="43DE3394">
      <w:pPr>
        <w:numPr>
          <w:ilvl w:val="0"/>
          <w:numId w:val="0"/>
        </w:numPr>
        <w:spacing w:before="120" w:after="120" w:line="288" w:lineRule="auto"/>
        <w:ind w:leftChars="0"/>
        <w:jc w:val="left"/>
        <w:rPr>
          <w:rFonts w:hint="eastAsia" w:ascii="Arial" w:hAnsi="Arial" w:eastAsia="等线" w:cs="Arial"/>
          <w:sz w:val="22"/>
          <w:lang w:eastAsia="zh-CN"/>
        </w:rPr>
      </w:pPr>
      <w:r>
        <w:rPr>
          <w:rFonts w:hint="eastAsia" w:ascii="Arial" w:hAnsi="Arial" w:eastAsia="等线" w:cs="Arial"/>
          <w:sz w:val="22"/>
          <w:lang w:eastAsia="zh-CN"/>
        </w:rPr>
        <w:t>（</w:t>
      </w:r>
      <w:r>
        <w:rPr>
          <w:rFonts w:hint="eastAsia" w:ascii="Arial" w:hAnsi="Arial" w:eastAsia="等线" w:cs="Arial"/>
          <w:sz w:val="22"/>
          <w:lang w:val="en-US" w:eastAsia="zh-CN"/>
        </w:rPr>
        <w:t>1</w:t>
      </w:r>
      <w:r>
        <w:rPr>
          <w:rFonts w:hint="eastAsia" w:ascii="Arial" w:hAnsi="Arial" w:eastAsia="等线" w:cs="Arial"/>
          <w:sz w:val="22"/>
          <w:lang w:eastAsia="zh-CN"/>
        </w:rPr>
        <w:t>）</w:t>
      </w:r>
      <w:r>
        <w:rPr>
          <w:rFonts w:hint="eastAsia" w:ascii="Arial" w:hAnsi="Arial" w:eastAsia="等线" w:cs="Arial"/>
          <w:sz w:val="22"/>
        </w:rPr>
        <w:t>脉冲参数说明</w:t>
      </w:r>
      <w:r>
        <w:rPr>
          <w:rFonts w:hint="eastAsia" w:ascii="Arial" w:hAnsi="Arial" w:eastAsia="等线" w:cs="Arial"/>
          <w:sz w:val="22"/>
          <w:lang w:eastAsia="zh-CN"/>
        </w:rPr>
        <w:t>：</w:t>
      </w:r>
    </w:p>
    <w:p w14:paraId="037003DD">
      <w:pPr>
        <w:numPr>
          <w:ilvl w:val="0"/>
          <w:numId w:val="0"/>
        </w:numPr>
        <w:spacing w:before="120" w:after="120" w:line="288" w:lineRule="auto"/>
        <w:ind w:leftChars="0"/>
        <w:jc w:val="left"/>
        <w:rPr>
          <w:rFonts w:hint="eastAsia" w:ascii="Arial" w:hAnsi="Arial" w:eastAsia="等线" w:cs="Arial"/>
          <w:sz w:val="22"/>
          <w:lang w:val="en-US" w:eastAsia="zh-CN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 xml:space="preserve">    输出脉冲形态：支持单向波/双向波两种自定义波形；</w:t>
      </w:r>
    </w:p>
    <w:p w14:paraId="2598588B">
      <w:pPr>
        <w:numPr>
          <w:ilvl w:val="0"/>
          <w:numId w:val="0"/>
        </w:numPr>
        <w:spacing w:before="120" w:after="120" w:line="288" w:lineRule="auto"/>
        <w:ind w:leftChars="0" w:firstLine="220" w:firstLineChars="100"/>
        <w:jc w:val="left"/>
        <w:rPr>
          <w:rFonts w:hint="eastAsia" w:ascii="Arial" w:hAnsi="Arial" w:eastAsia="等线" w:cs="Arial"/>
          <w:sz w:val="22"/>
          <w:lang w:val="en-US" w:eastAsia="zh-CN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>刺激类型：支持真刺激、假刺激两种自定义刺激类型，假刺激持续时间可自定义；</w:t>
      </w:r>
    </w:p>
    <w:p w14:paraId="362C1243">
      <w:pPr>
        <w:numPr>
          <w:ilvl w:val="0"/>
          <w:numId w:val="0"/>
        </w:numPr>
        <w:spacing w:before="120" w:after="120" w:line="288" w:lineRule="auto"/>
        <w:ind w:firstLine="220" w:firstLineChars="100"/>
        <w:jc w:val="left"/>
        <w:rPr>
          <w:rFonts w:hint="eastAsia" w:ascii="Arial" w:hAnsi="Arial" w:eastAsia="等线" w:cs="Arial"/>
          <w:sz w:val="22"/>
          <w:lang w:val="en-US" w:eastAsia="zh-CN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>输出脉冲波形：支持连续波、疏密波、断续波三种模式，疏波和密波持续时间可自定义，断续波持续和暂停时间可自定义；</w:t>
      </w:r>
    </w:p>
    <w:p w14:paraId="03FBC8B4">
      <w:pPr>
        <w:numPr>
          <w:ilvl w:val="0"/>
          <w:numId w:val="0"/>
        </w:numPr>
        <w:spacing w:before="120" w:after="120" w:line="288" w:lineRule="auto"/>
        <w:ind w:leftChars="0" w:firstLine="220" w:firstLineChars="100"/>
        <w:jc w:val="left"/>
        <w:rPr>
          <w:rFonts w:hint="eastAsia" w:ascii="Arial" w:hAnsi="Arial" w:eastAsia="等线" w:cs="Arial"/>
          <w:sz w:val="22"/>
          <w:lang w:val="en-US" w:eastAsia="zh-CN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>输出脉冲频率：三种模式所涉及的频率均可以自定义；</w:t>
      </w:r>
    </w:p>
    <w:p w14:paraId="376F7394">
      <w:pPr>
        <w:numPr>
          <w:ilvl w:val="0"/>
          <w:numId w:val="0"/>
        </w:numPr>
        <w:spacing w:before="120" w:after="120" w:line="288" w:lineRule="auto"/>
        <w:ind w:leftChars="0" w:firstLine="220" w:firstLineChars="100"/>
        <w:jc w:val="left"/>
        <w:rPr>
          <w:rFonts w:hint="eastAsia" w:ascii="Arial" w:hAnsi="Arial" w:eastAsia="等线" w:cs="Arial"/>
          <w:sz w:val="22"/>
          <w:lang w:val="en-US" w:eastAsia="zh-CN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>输出脉冲宽度可自定义；</w:t>
      </w:r>
    </w:p>
    <w:p w14:paraId="3654D579">
      <w:pPr>
        <w:numPr>
          <w:ilvl w:val="0"/>
          <w:numId w:val="0"/>
        </w:numPr>
        <w:spacing w:before="120" w:after="120" w:line="288" w:lineRule="auto"/>
        <w:ind w:leftChars="0" w:firstLine="220" w:firstLineChars="100"/>
        <w:jc w:val="left"/>
        <w:rPr>
          <w:rFonts w:hint="eastAsia" w:ascii="Arial" w:hAnsi="Arial" w:eastAsia="等线" w:cs="Arial"/>
          <w:sz w:val="22"/>
          <w:lang w:val="en-US" w:eastAsia="zh-CN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>刺激时间可自定义。</w:t>
      </w:r>
    </w:p>
    <w:p w14:paraId="1826A0A4">
      <w:pPr>
        <w:numPr>
          <w:ilvl w:val="0"/>
          <w:numId w:val="0"/>
        </w:numPr>
        <w:spacing w:before="120" w:after="120" w:line="288" w:lineRule="auto"/>
        <w:ind w:leftChars="0"/>
        <w:jc w:val="left"/>
        <w:rPr>
          <w:rFonts w:hint="eastAsia" w:ascii="Arial" w:hAnsi="Arial" w:eastAsia="等线" w:cs="Arial"/>
          <w:sz w:val="22"/>
          <w:lang w:val="en-US" w:eastAsia="zh-CN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>（2）脉冲参数调整范围</w:t>
      </w:r>
    </w:p>
    <w:p w14:paraId="35B8D42E">
      <w:pPr>
        <w:numPr>
          <w:ilvl w:val="0"/>
          <w:numId w:val="0"/>
        </w:numPr>
        <w:spacing w:before="120" w:after="120" w:line="288" w:lineRule="auto"/>
        <w:ind w:leftChars="0" w:firstLine="244"/>
        <w:jc w:val="left"/>
        <w:rPr>
          <w:rFonts w:hint="eastAsia" w:ascii="Arial" w:hAnsi="Arial" w:eastAsia="等线" w:cs="Arial"/>
          <w:sz w:val="22"/>
          <w:lang w:val="en-US" w:eastAsia="zh-CN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>脉冲形态自定义范围：单向波、双向波</w:t>
      </w:r>
    </w:p>
    <w:p w14:paraId="0A1B36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40" w:firstLineChars="10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假刺激持续时间自定义范围：0-3600s，步进1s，误差±20%</w:t>
      </w:r>
    </w:p>
    <w:p w14:paraId="7C1A61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40" w:firstLineChars="100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疏波持续时间自定义范围：0-3600s，步进1s，误差±20%</w:t>
      </w:r>
    </w:p>
    <w:p w14:paraId="526045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40" w:firstLineChars="100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密波持续时间自定义范围：0-3600s，步进1s，误差±20%</w:t>
      </w:r>
    </w:p>
    <w:p w14:paraId="055AEE64">
      <w:pPr>
        <w:numPr>
          <w:ilvl w:val="0"/>
          <w:numId w:val="0"/>
        </w:numPr>
        <w:spacing w:before="120" w:after="120" w:line="288" w:lineRule="auto"/>
        <w:ind w:leftChars="0" w:firstLine="244"/>
        <w:jc w:val="left"/>
        <w:rPr>
          <w:rFonts w:hint="default" w:ascii="Arial" w:hAnsi="Arial" w:eastAsia="等线" w:cs="Arial"/>
          <w:sz w:val="22"/>
          <w:lang w:val="en-US" w:eastAsia="zh-CN"/>
        </w:rPr>
      </w:pPr>
      <w:r>
        <w:rPr>
          <w:rFonts w:hint="default" w:ascii="Arial" w:hAnsi="Arial" w:eastAsia="等线" w:cs="Arial"/>
          <w:sz w:val="22"/>
          <w:lang w:val="en-US" w:eastAsia="zh-CN"/>
        </w:rPr>
        <w:t>断续波脉冲运行时间自定义范围：0-3600s，步进1s，误差±20%</w:t>
      </w:r>
    </w:p>
    <w:p w14:paraId="7E656F32">
      <w:pPr>
        <w:numPr>
          <w:ilvl w:val="0"/>
          <w:numId w:val="0"/>
        </w:numPr>
        <w:spacing w:before="120" w:after="120" w:line="288" w:lineRule="auto"/>
        <w:ind w:leftChars="0" w:firstLine="244"/>
        <w:jc w:val="left"/>
        <w:rPr>
          <w:rFonts w:hint="default" w:ascii="Arial" w:hAnsi="Arial" w:eastAsia="等线" w:cs="Arial"/>
          <w:sz w:val="22"/>
          <w:lang w:val="en-US" w:eastAsia="zh-CN"/>
        </w:rPr>
      </w:pPr>
      <w:r>
        <w:rPr>
          <w:rFonts w:hint="default" w:ascii="Arial" w:hAnsi="Arial" w:eastAsia="等线" w:cs="Arial"/>
          <w:sz w:val="22"/>
          <w:lang w:val="en-US" w:eastAsia="zh-CN"/>
        </w:rPr>
        <w:t>断续波脉冲停止时间自定义范围：0-3600s，步进1s，误差±20%</w:t>
      </w:r>
    </w:p>
    <w:p w14:paraId="078AFF2B">
      <w:pPr>
        <w:numPr>
          <w:ilvl w:val="0"/>
          <w:numId w:val="0"/>
        </w:numPr>
        <w:spacing w:before="120" w:after="120" w:line="288" w:lineRule="auto"/>
        <w:ind w:leftChars="0" w:firstLine="244"/>
        <w:jc w:val="left"/>
        <w:rPr>
          <w:rFonts w:hint="default" w:ascii="Arial" w:hAnsi="Arial" w:eastAsia="等线" w:cs="Arial"/>
          <w:sz w:val="22"/>
          <w:lang w:val="en-US" w:eastAsia="zh-CN"/>
        </w:rPr>
      </w:pPr>
      <w:r>
        <w:rPr>
          <w:rFonts w:hint="default" w:ascii="Arial" w:hAnsi="Arial" w:eastAsia="等线" w:cs="Arial"/>
          <w:sz w:val="22"/>
          <w:lang w:val="en-US" w:eastAsia="zh-CN"/>
        </w:rPr>
        <w:t>波形1频率自定义范围：0-120Hz，步进1Hz，误差±10%</w:t>
      </w:r>
    </w:p>
    <w:p w14:paraId="72CFFE06">
      <w:pPr>
        <w:numPr>
          <w:ilvl w:val="0"/>
          <w:numId w:val="0"/>
        </w:numPr>
        <w:spacing w:before="120" w:after="120" w:line="288" w:lineRule="auto"/>
        <w:ind w:leftChars="0" w:firstLine="244"/>
        <w:jc w:val="left"/>
        <w:rPr>
          <w:rFonts w:hint="default" w:ascii="Arial" w:hAnsi="Arial" w:eastAsia="等线" w:cs="Arial"/>
          <w:sz w:val="22"/>
          <w:lang w:val="en-US" w:eastAsia="zh-CN"/>
        </w:rPr>
      </w:pPr>
      <w:r>
        <w:rPr>
          <w:rFonts w:hint="default" w:ascii="Arial" w:hAnsi="Arial" w:eastAsia="等线" w:cs="Arial"/>
          <w:sz w:val="22"/>
          <w:lang w:val="en-US" w:eastAsia="zh-CN"/>
        </w:rPr>
        <w:t>波形1持续时间自定义范围：0-3600s，步进1s，误差±20%</w:t>
      </w:r>
    </w:p>
    <w:p w14:paraId="4C906545">
      <w:pPr>
        <w:numPr>
          <w:ilvl w:val="0"/>
          <w:numId w:val="0"/>
        </w:numPr>
        <w:spacing w:before="120" w:after="120" w:line="288" w:lineRule="auto"/>
        <w:ind w:leftChars="0" w:firstLine="244"/>
        <w:jc w:val="left"/>
        <w:rPr>
          <w:rFonts w:hint="default" w:ascii="Arial" w:hAnsi="Arial" w:eastAsia="等线" w:cs="Arial"/>
          <w:sz w:val="22"/>
          <w:lang w:val="en-US" w:eastAsia="zh-CN"/>
        </w:rPr>
      </w:pPr>
      <w:r>
        <w:rPr>
          <w:rFonts w:hint="default" w:ascii="Arial" w:hAnsi="Arial" w:eastAsia="等线" w:cs="Arial"/>
          <w:sz w:val="22"/>
          <w:lang w:val="en-US" w:eastAsia="zh-CN"/>
        </w:rPr>
        <w:t>波形2频率自定义范围：0-120Hz，步进1Hz，误差±10%</w:t>
      </w:r>
    </w:p>
    <w:p w14:paraId="306200FC">
      <w:pPr>
        <w:numPr>
          <w:ilvl w:val="0"/>
          <w:numId w:val="0"/>
        </w:numPr>
        <w:spacing w:before="120" w:after="120" w:line="288" w:lineRule="auto"/>
        <w:ind w:leftChars="0" w:firstLine="244"/>
        <w:jc w:val="left"/>
        <w:rPr>
          <w:rFonts w:hint="default" w:ascii="Arial" w:hAnsi="Arial" w:eastAsia="等线" w:cs="Arial"/>
          <w:sz w:val="22"/>
          <w:lang w:val="en-US" w:eastAsia="zh-CN"/>
        </w:rPr>
      </w:pPr>
      <w:r>
        <w:rPr>
          <w:rFonts w:hint="default" w:ascii="Arial" w:hAnsi="Arial" w:eastAsia="等线" w:cs="Arial"/>
          <w:sz w:val="22"/>
          <w:lang w:val="en-US" w:eastAsia="zh-CN"/>
        </w:rPr>
        <w:t>波形2持续时间自定义范围：0-3600s，步进1s，误差±20%</w:t>
      </w:r>
    </w:p>
    <w:p w14:paraId="468A893A">
      <w:pPr>
        <w:spacing w:before="320" w:after="120" w:line="288" w:lineRule="auto"/>
        <w:ind w:left="0"/>
        <w:jc w:val="left"/>
        <w:outlineLvl w:val="1"/>
      </w:pPr>
      <w:bookmarkStart w:id="43" w:name="heading_47"/>
      <w:r>
        <w:rPr>
          <w:rFonts w:hint="eastAsia" w:ascii="Arial" w:hAnsi="Arial" w:eastAsia="等线" w:cs="Arial"/>
          <w:b/>
          <w:sz w:val="32"/>
          <w:lang w:val="en-US" w:eastAsia="zh-CN"/>
        </w:rPr>
        <w:t>5.2</w:t>
      </w:r>
      <w:r>
        <w:rPr>
          <w:rFonts w:ascii="Arial" w:hAnsi="Arial" w:eastAsia="等线" w:cs="Arial"/>
          <w:b/>
          <w:sz w:val="32"/>
        </w:rPr>
        <w:t>小程序：</w:t>
      </w:r>
      <w:bookmarkEnd w:id="43"/>
    </w:p>
    <w:p w14:paraId="7E71603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配套耳迷平台使用小程序，激活平台端的参数，并将患者使用数据上传，便于科研分析</w:t>
      </w:r>
    </w:p>
    <w:p w14:paraId="18B1A8A0">
      <w:pPr>
        <w:spacing w:before="320" w:after="120" w:line="288" w:lineRule="auto"/>
        <w:ind w:left="0"/>
        <w:jc w:val="left"/>
        <w:outlineLvl w:val="1"/>
      </w:pPr>
      <w:bookmarkStart w:id="44" w:name="heading_48"/>
      <w:r>
        <w:rPr>
          <w:rFonts w:hint="eastAsia" w:ascii="Arial" w:hAnsi="Arial" w:eastAsia="等线" w:cs="Arial"/>
          <w:b/>
          <w:sz w:val="32"/>
          <w:lang w:val="en-US" w:eastAsia="zh-CN"/>
        </w:rPr>
        <w:t>5.3</w:t>
      </w:r>
      <w:r>
        <w:rPr>
          <w:rFonts w:ascii="Arial" w:hAnsi="Arial" w:eastAsia="等线" w:cs="Arial"/>
          <w:b/>
          <w:sz w:val="32"/>
        </w:rPr>
        <w:t>分析功能：</w:t>
      </w:r>
      <w:bookmarkEnd w:id="44"/>
    </w:p>
    <w:p w14:paraId="4132142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数据统计分析和报表输出</w:t>
      </w:r>
    </w:p>
    <w:p w14:paraId="41D90C67">
      <w:pPr>
        <w:spacing w:before="380" w:after="140" w:line="288" w:lineRule="auto"/>
        <w:ind w:left="0"/>
        <w:jc w:val="left"/>
        <w:outlineLvl w:val="0"/>
      </w:pPr>
      <w:bookmarkStart w:id="45" w:name="heading_50"/>
      <w:r>
        <w:rPr>
          <w:rFonts w:hint="eastAsia" w:ascii="Arial" w:hAnsi="Arial" w:eastAsia="等线" w:cs="Arial"/>
          <w:b/>
          <w:sz w:val="36"/>
          <w:lang w:val="en-US" w:eastAsia="zh-CN"/>
        </w:rPr>
        <w:t>6</w:t>
      </w:r>
      <w:r>
        <w:rPr>
          <w:rFonts w:ascii="Arial" w:hAnsi="Arial" w:eastAsia="等线" w:cs="Arial"/>
          <w:b/>
          <w:sz w:val="36"/>
        </w:rPr>
        <w:t>、数据管理后台</w:t>
      </w:r>
      <w:bookmarkEnd w:id="45"/>
    </w:p>
    <w:p w14:paraId="2E0C095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总体：上述模块一、模块二、模块三、模块四、模块五数据和用户权限管理</w:t>
      </w:r>
    </w:p>
    <w:p w14:paraId="3F015D11">
      <w:pPr>
        <w:spacing w:before="320" w:after="120" w:line="288" w:lineRule="auto"/>
        <w:ind w:left="0"/>
        <w:jc w:val="left"/>
        <w:outlineLvl w:val="1"/>
      </w:pPr>
      <w:bookmarkStart w:id="46" w:name="heading_51"/>
      <w:r>
        <w:rPr>
          <w:rFonts w:hint="eastAsia" w:ascii="Arial" w:hAnsi="Arial" w:eastAsia="等线" w:cs="Arial"/>
          <w:b/>
          <w:sz w:val="32"/>
          <w:lang w:val="en-US" w:eastAsia="zh-CN"/>
        </w:rPr>
        <w:t>6</w:t>
      </w:r>
      <w:r>
        <w:rPr>
          <w:rFonts w:ascii="Arial" w:hAnsi="Arial" w:eastAsia="等线" w:cs="Arial"/>
          <w:b/>
          <w:sz w:val="32"/>
        </w:rPr>
        <w:t>.</w:t>
      </w:r>
      <w:r>
        <w:rPr>
          <w:rFonts w:hint="eastAsia" w:ascii="Arial" w:hAnsi="Arial" w:eastAsia="等线" w:cs="Arial"/>
          <w:b/>
          <w:sz w:val="32"/>
          <w:lang w:val="en-US" w:eastAsia="zh-CN"/>
        </w:rPr>
        <w:t xml:space="preserve">1 </w:t>
      </w:r>
      <w:r>
        <w:rPr>
          <w:rFonts w:ascii="Arial" w:hAnsi="Arial" w:eastAsia="等线" w:cs="Arial"/>
          <w:b/>
          <w:sz w:val="32"/>
        </w:rPr>
        <w:t>数据部分：</w:t>
      </w:r>
      <w:bookmarkEnd w:id="46"/>
    </w:p>
    <w:p w14:paraId="58041D9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患者和患者基本信息管理</w:t>
      </w:r>
    </w:p>
    <w:p w14:paraId="7F239DB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量表管理</w:t>
      </w:r>
    </w:p>
    <w:p w14:paraId="0FB2ECD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康复方案设置</w:t>
      </w:r>
    </w:p>
    <w:p w14:paraId="12820A1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随访设置</w:t>
      </w:r>
    </w:p>
    <w:p w14:paraId="244B285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评估报告管理</w:t>
      </w:r>
    </w:p>
    <w:p w14:paraId="054CC53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多模态数据管理</w:t>
      </w:r>
    </w:p>
    <w:p w14:paraId="25FF4D5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AI动作评估数据管理</w:t>
      </w:r>
    </w:p>
    <w:p w14:paraId="6C909AB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患者多数据报告管理</w:t>
      </w:r>
    </w:p>
    <w:p w14:paraId="5BEAD9B0">
      <w:pPr>
        <w:spacing w:before="320" w:after="120" w:line="288" w:lineRule="auto"/>
        <w:ind w:left="0"/>
        <w:jc w:val="left"/>
        <w:outlineLvl w:val="1"/>
      </w:pPr>
      <w:bookmarkStart w:id="47" w:name="heading_52"/>
      <w:r>
        <w:rPr>
          <w:rFonts w:hint="eastAsia" w:ascii="Arial" w:hAnsi="Arial" w:eastAsia="等线" w:cs="Arial"/>
          <w:b/>
          <w:sz w:val="32"/>
          <w:lang w:val="en-US" w:eastAsia="zh-CN"/>
        </w:rPr>
        <w:t>6.2</w:t>
      </w:r>
      <w:r>
        <w:rPr>
          <w:rFonts w:ascii="Arial" w:hAnsi="Arial" w:eastAsia="等线" w:cs="Arial"/>
          <w:b/>
          <w:sz w:val="32"/>
        </w:rPr>
        <w:t>用户管理部分</w:t>
      </w:r>
      <w:bookmarkEnd w:id="47"/>
    </w:p>
    <w:p w14:paraId="5F71314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 xml:space="preserve">  超级管理员</w:t>
      </w:r>
    </w:p>
    <w:p w14:paraId="4CF6A40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 xml:space="preserve">  普通管理员</w:t>
      </w:r>
    </w:p>
    <w:p w14:paraId="64A7DCC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 xml:space="preserve">  操作人员等</w:t>
      </w:r>
    </w:p>
    <w:p w14:paraId="3CD6B8F7">
      <w:pPr>
        <w:spacing w:before="120" w:after="120" w:line="288" w:lineRule="auto"/>
        <w:ind w:left="0"/>
        <w:jc w:val="left"/>
      </w:pPr>
    </w:p>
    <w:p w14:paraId="065CBF44">
      <w:pPr>
        <w:spacing w:before="120" w:after="120" w:line="288" w:lineRule="auto"/>
        <w:ind w:left="0"/>
        <w:jc w:val="left"/>
      </w:pPr>
    </w:p>
    <w:p w14:paraId="24B0842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 xml:space="preserve">     </w:t>
      </w:r>
    </w:p>
    <w:p w14:paraId="51309EA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 xml:space="preserve">   </w:t>
      </w:r>
    </w:p>
    <w:p w14:paraId="0DCBD34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 xml:space="preserve">    </w:t>
      </w: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98417E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89C13F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239341B"/>
    <w:multiLevelType w:val="singleLevel"/>
    <w:tmpl w:val="9239341B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1">
    <w:nsid w:val="9288B902"/>
    <w:multiLevelType w:val="singleLevel"/>
    <w:tmpl w:val="9288B902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">
    <w:nsid w:val="9C8AC8EF"/>
    <w:multiLevelType w:val="singleLevel"/>
    <w:tmpl w:val="9C8AC8EF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3">
    <w:nsid w:val="B0F1ACD9"/>
    <w:multiLevelType w:val="singleLevel"/>
    <w:tmpl w:val="B0F1ACD9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4">
    <w:nsid w:val="B5E306ED"/>
    <w:multiLevelType w:val="singleLevel"/>
    <w:tmpl w:val="B5E306ED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5">
    <w:nsid w:val="BE923771"/>
    <w:multiLevelType w:val="singleLevel"/>
    <w:tmpl w:val="BE923771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6">
    <w:nsid w:val="BF205925"/>
    <w:multiLevelType w:val="singleLevel"/>
    <w:tmpl w:val="BF205925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7">
    <w:nsid w:val="C8879AEF"/>
    <w:multiLevelType w:val="singleLevel"/>
    <w:tmpl w:val="C8879AEF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8">
    <w:nsid w:val="CF092B84"/>
    <w:multiLevelType w:val="singleLevel"/>
    <w:tmpl w:val="CF092B84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9">
    <w:nsid w:val="D7F9FE59"/>
    <w:multiLevelType w:val="singleLevel"/>
    <w:tmpl w:val="D7F9FE59"/>
    <w:lvl w:ilvl="0" w:tentative="0">
      <w:start w:val="0"/>
      <w:numFmt w:val="bullet"/>
      <w:lvlText w:val="▪"/>
      <w:lvlJc w:val="left"/>
      <w:rPr>
        <w:color w:val="3370FF"/>
        <w:sz w:val="11"/>
      </w:rPr>
    </w:lvl>
  </w:abstractNum>
  <w:abstractNum w:abstractNumId="10">
    <w:nsid w:val="DCBA6B53"/>
    <w:multiLevelType w:val="singleLevel"/>
    <w:tmpl w:val="DCBA6B53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11">
    <w:nsid w:val="F4B5D9F5"/>
    <w:multiLevelType w:val="singleLevel"/>
    <w:tmpl w:val="F4B5D9F5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12">
    <w:nsid w:val="0053208E"/>
    <w:multiLevelType w:val="singleLevel"/>
    <w:tmpl w:val="0053208E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13">
    <w:nsid w:val="0248C179"/>
    <w:multiLevelType w:val="singleLevel"/>
    <w:tmpl w:val="0248C179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14">
    <w:nsid w:val="03D62ECE"/>
    <w:multiLevelType w:val="singleLevel"/>
    <w:tmpl w:val="03D62ECE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15">
    <w:nsid w:val="0E640482"/>
    <w:multiLevelType w:val="singleLevel"/>
    <w:tmpl w:val="0E640482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6">
    <w:nsid w:val="2470EC97"/>
    <w:multiLevelType w:val="singleLevel"/>
    <w:tmpl w:val="2470EC97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17">
    <w:nsid w:val="25B654F3"/>
    <w:multiLevelType w:val="singleLevel"/>
    <w:tmpl w:val="25B654F3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18">
    <w:nsid w:val="2A8F537B"/>
    <w:multiLevelType w:val="singleLevel"/>
    <w:tmpl w:val="2A8F537B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19">
    <w:nsid w:val="46A08BB8"/>
    <w:multiLevelType w:val="singleLevel"/>
    <w:tmpl w:val="46A08BB8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0">
    <w:nsid w:val="4C1BAE26"/>
    <w:multiLevelType w:val="singleLevel"/>
    <w:tmpl w:val="4C1BAE26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1">
    <w:nsid w:val="4D4DC07F"/>
    <w:multiLevelType w:val="singleLevel"/>
    <w:tmpl w:val="4D4DC07F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22">
    <w:nsid w:val="59ADCABA"/>
    <w:multiLevelType w:val="singleLevel"/>
    <w:tmpl w:val="59ADCABA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23">
    <w:nsid w:val="5A241D34"/>
    <w:multiLevelType w:val="singleLevel"/>
    <w:tmpl w:val="5A241D34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24">
    <w:nsid w:val="60382F6E"/>
    <w:multiLevelType w:val="singleLevel"/>
    <w:tmpl w:val="60382F6E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5">
    <w:nsid w:val="629F7852"/>
    <w:multiLevelType w:val="singleLevel"/>
    <w:tmpl w:val="629F7852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6">
    <w:nsid w:val="72183CF9"/>
    <w:multiLevelType w:val="singleLevel"/>
    <w:tmpl w:val="72183CF9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27">
    <w:nsid w:val="77ECEA79"/>
    <w:multiLevelType w:val="singleLevel"/>
    <w:tmpl w:val="77ECEA79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8">
    <w:nsid w:val="7C246926"/>
    <w:multiLevelType w:val="singleLevel"/>
    <w:tmpl w:val="7C246926"/>
    <w:lvl w:ilvl="0" w:tentative="0">
      <w:start w:val="0"/>
      <w:numFmt w:val="bullet"/>
      <w:lvlText w:val="•"/>
      <w:lvlJc w:val="left"/>
      <w:rPr>
        <w:color w:val="3370FF"/>
      </w:rPr>
    </w:lvl>
  </w:abstractNum>
  <w:num w:numId="1">
    <w:abstractNumId w:val="12"/>
  </w:num>
  <w:num w:numId="2">
    <w:abstractNumId w:val="8"/>
  </w:num>
  <w:num w:numId="3">
    <w:abstractNumId w:val="22"/>
  </w:num>
  <w:num w:numId="4">
    <w:abstractNumId w:val="6"/>
  </w:num>
  <w:num w:numId="5">
    <w:abstractNumId w:val="4"/>
  </w:num>
  <w:num w:numId="6">
    <w:abstractNumId w:val="14"/>
  </w:num>
  <w:num w:numId="7">
    <w:abstractNumId w:val="17"/>
  </w:num>
  <w:num w:numId="8">
    <w:abstractNumId w:val="26"/>
  </w:num>
  <w:num w:numId="9">
    <w:abstractNumId w:val="13"/>
  </w:num>
  <w:num w:numId="10">
    <w:abstractNumId w:val="0"/>
  </w:num>
  <w:num w:numId="11">
    <w:abstractNumId w:val="18"/>
  </w:num>
  <w:num w:numId="12">
    <w:abstractNumId w:val="23"/>
  </w:num>
  <w:num w:numId="13">
    <w:abstractNumId w:val="7"/>
  </w:num>
  <w:num w:numId="14">
    <w:abstractNumId w:val="21"/>
  </w:num>
  <w:num w:numId="15">
    <w:abstractNumId w:val="11"/>
  </w:num>
  <w:num w:numId="16">
    <w:abstractNumId w:val="16"/>
  </w:num>
  <w:num w:numId="17">
    <w:abstractNumId w:val="10"/>
  </w:num>
  <w:num w:numId="18">
    <w:abstractNumId w:val="9"/>
  </w:num>
  <w:num w:numId="19">
    <w:abstractNumId w:val="2"/>
  </w:num>
  <w:num w:numId="20">
    <w:abstractNumId w:val="20"/>
  </w:num>
  <w:num w:numId="21">
    <w:abstractNumId w:val="24"/>
  </w:num>
  <w:num w:numId="22">
    <w:abstractNumId w:val="15"/>
  </w:num>
  <w:num w:numId="23">
    <w:abstractNumId w:val="19"/>
  </w:num>
  <w:num w:numId="24">
    <w:abstractNumId w:val="3"/>
  </w:num>
  <w:num w:numId="25">
    <w:abstractNumId w:val="28"/>
  </w:num>
  <w:num w:numId="26">
    <w:abstractNumId w:val="27"/>
  </w:num>
  <w:num w:numId="27">
    <w:abstractNumId w:val="5"/>
  </w:num>
  <w:num w:numId="28">
    <w:abstractNumId w:val="25"/>
  </w:num>
  <w:num w:numId="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D734C9"/>
    <w:rsid w:val="0817253D"/>
    <w:rsid w:val="0D5E5F45"/>
    <w:rsid w:val="159E5A7C"/>
    <w:rsid w:val="203D1AFC"/>
    <w:rsid w:val="2EF05C55"/>
    <w:rsid w:val="317434F3"/>
    <w:rsid w:val="3AC34A70"/>
    <w:rsid w:val="3CBD7DE7"/>
    <w:rsid w:val="42D5459A"/>
    <w:rsid w:val="448F7E4D"/>
    <w:rsid w:val="4C170728"/>
    <w:rsid w:val="62D247D5"/>
    <w:rsid w:val="6A1D49DF"/>
    <w:rsid w:val="71FB652E"/>
    <w:rsid w:val="720A34DF"/>
    <w:rsid w:val="76B90440"/>
    <w:rsid w:val="7CD0704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rPr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8</Pages>
  <Words>1625</Words>
  <Characters>1804</Characters>
  <TotalTime>9</TotalTime>
  <ScaleCrop>false</ScaleCrop>
  <LinksUpToDate>false</LinksUpToDate>
  <CharactersWithSpaces>1874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2026-08-29T12:19:00Z</dcterms:created>
  <dc:creator>Apache POI</dc:creator>
  <cp:lastModifiedBy>橘子桔子橘</cp:lastModifiedBy>
  <dcterms:modified xsi:type="dcterms:W3CDTF">2026-09-04T07:15:37Z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eyJoZGlkIjoiMzMzOTZkYzcxNDYwZTJjZDg0YTk4ZjBlN2Q3ZGNmZjQiLCJ1c2VySWQiOiIxMDE1NDUyMDMwIn0=</vt:lpwstr>
  </property>
  <property fmtid="{D5CDD505-2E9C-101B-9397-08002B2CF9AE}" pid="3" name="KSOProductBuildVer">
    <vt:lpwstr>2052-12.1.0.28043</vt:lpwstr>
  </property>
  <property fmtid="{D5CDD505-2E9C-101B-9397-08002B2CF9AE}" pid="4" name="ICV">
    <vt:lpwstr>54A6D76AE64A4FFF8746DF3716BB404B_13</vt:lpwstr>
  </property>
</Properties>
</file>